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4C15F1" w14:textId="77777777" w:rsidR="00180562" w:rsidRDefault="00000000">
      <w:pPr>
        <w:pStyle w:val="Heading1"/>
      </w:pPr>
      <w:bookmarkStart w:id="0" w:name="the-lindmark-decree-simulation-worksheet"/>
      <w:r>
        <w:t>The Lindmark Decree — Simulation Worksheet</w:t>
      </w:r>
    </w:p>
    <w:p w14:paraId="63F2A62D" w14:textId="77777777" w:rsidR="00180562" w:rsidRDefault="00000000">
      <w:pPr>
        <w:pStyle w:val="Heading2"/>
      </w:pPr>
      <w:bookmarkStart w:id="1" w:name="lindmark-autoworkers-federation-laf"/>
      <w:r>
        <w:t>Lindmark Autoworkers’ Federation (LAF)</w:t>
      </w:r>
    </w:p>
    <w:p w14:paraId="6EDDEE34" w14:textId="77777777" w:rsidR="00180562" w:rsidRDefault="00000000">
      <w:r>
        <w:rPr>
          <w:i/>
          <w:iCs/>
        </w:rPr>
        <w:t>IR227 Seminar 11 (simulation variant) — Group worksheet</w:t>
      </w:r>
    </w:p>
    <w:p w14:paraId="53082345" w14:textId="77777777" w:rsidR="00180562" w:rsidRDefault="00000000">
      <w:pPr>
        <w:pStyle w:val="Heading3"/>
      </w:pPr>
      <w:bookmarkStart w:id="2" w:name="setting"/>
      <w:r>
        <w:t>Setting</w:t>
      </w:r>
    </w:p>
    <w:p w14:paraId="7A3DFAEF" w14:textId="77777777" w:rsidR="00180562" w:rsidRDefault="00000000">
      <w:r>
        <w:t>Lindmark is a mid-sized country in the heart of the European Union, home to roughly 9 million people. Its industrial base is anchored by Valexo Industrial, a domestic auto-parts manufacturer whose three plants employ roughly 38,000 workers combined, making engine components, transmissions, and wiring systems for automakers across the EU.</w:t>
      </w:r>
    </w:p>
    <w:p w14:paraId="36D0A01B" w14:textId="77777777" w:rsidR="00180562" w:rsidRDefault="00000000">
      <w:pPr>
        <w:pStyle w:val="BodyText"/>
      </w:pPr>
      <w:r>
        <w:t>It is spring 2026. Lindmark’s national AI and data-protection regulator, the Lindmark Digital Governance Authority (LDGA), is four months from finalising the national decree implementing the EU AI Act’s high-risk obligations, binding across the EU from 2 August 2026. Eight weeks ago, Vesla — a European AI-and-robotics firm — announced a €2.4bn investment in a new manufacturing campus in Lindmark, and separately signed a licensing agreement with Valexo to deploy its Vesla OS platform across robotic assembly lines in two of Valexo’s three plants.</w:t>
      </w:r>
    </w:p>
    <w:p w14:paraId="7C9AFA41" w14:textId="77777777" w:rsidR="00180562" w:rsidRDefault="00000000">
      <w:pPr>
        <w:pStyle w:val="Heading3"/>
      </w:pPr>
      <w:bookmarkStart w:id="3" w:name="task"/>
      <w:bookmarkEnd w:id="2"/>
      <w:r>
        <w:t>Task</w:t>
      </w:r>
    </w:p>
    <w:p w14:paraId="607F96A2" w14:textId="6F71BF11" w:rsidR="00180562" w:rsidRDefault="00000000">
      <w:r>
        <w:t xml:space="preserve">Your team represents the Lindmark Autoworkers’ Federation (LAF), the union covering Valexo’s roughly 38,000 workers. Produce a </w:t>
      </w:r>
      <w:r>
        <w:rPr>
          <w:b/>
          <w:bCs/>
        </w:rPr>
        <w:t>just-transition demand memo</w:t>
      </w:r>
      <w:r>
        <w:t xml:space="preserve">: name exactly which protections must be statutory entitlements — not discretionary guidance — before your members accept that this transition is happening </w:t>
      </w:r>
      <w:r>
        <w:rPr>
          <w:i/>
          <w:iCs/>
        </w:rPr>
        <w:t>with</w:t>
      </w:r>
      <w:r>
        <w:t xml:space="preserve"> them rather than </w:t>
      </w:r>
      <w:r>
        <w:rPr>
          <w:i/>
          <w:iCs/>
        </w:rPr>
        <w:t>to</w:t>
      </w:r>
      <w:r>
        <w:t xml:space="preserve"> them.</w:t>
      </w:r>
    </w:p>
    <w:p w14:paraId="19C2AAFB" w14:textId="77777777" w:rsidR="00180562" w:rsidRDefault="00000000">
      <w:pPr>
        <w:pStyle w:val="BodyText"/>
      </w:pPr>
      <w:r>
        <w:t>The analytical tools you will deploy are: Acemoglu and Restrepo’s displacement-reinstatement framework, the commitment-problem lens (carried over from Lecture 5 and central to Lecture 9’s just-transition material), Farrell’s reframing of AI as governance in its own right, and Streeck and Thelen’s institutional-change typology.</w:t>
      </w:r>
    </w:p>
    <w:p w14:paraId="5C2628C3" w14:textId="77777777" w:rsidR="00180562" w:rsidRDefault="00000000">
      <w:pPr>
        <w:pStyle w:val="Heading3"/>
      </w:pPr>
      <w:bookmarkStart w:id="4" w:name="requirements"/>
      <w:bookmarkEnd w:id="3"/>
      <w:r>
        <w:t>Requirements</w:t>
      </w:r>
    </w:p>
    <w:p w14:paraId="3EF6A8EA" w14:textId="77777777" w:rsidR="00180562" w:rsidRDefault="00000000">
      <w:r>
        <w:t>Your demand memo must include:</w:t>
      </w:r>
    </w:p>
    <w:p w14:paraId="17BAFE50" w14:textId="77777777" w:rsidR="00180562" w:rsidRDefault="00000000">
      <w:pPr>
        <w:numPr>
          <w:ilvl w:val="0"/>
          <w:numId w:val="11"/>
        </w:numPr>
      </w:pPr>
      <w:r>
        <w:rPr>
          <w:b/>
          <w:bCs/>
        </w:rPr>
        <w:t>Goal.</w:t>
      </w:r>
      <w:r>
        <w:t xml:space="preserve"> State precisely what “a just transition for Valexo’s workforce” means in concrete, legally specific terms — for both the workers who lose their jobs to automation and the workers who keep their jobs but now work under continuous algorithmic supervision. These are not the same demand; don’t collapse them into one.</w:t>
      </w:r>
    </w:p>
    <w:p w14:paraId="7BBB0CB7" w14:textId="77777777" w:rsidR="00180562" w:rsidRDefault="00000000">
      <w:pPr>
        <w:numPr>
          <w:ilvl w:val="0"/>
          <w:numId w:val="11"/>
        </w:numPr>
      </w:pPr>
      <w:r>
        <w:rPr>
          <w:b/>
          <w:bCs/>
        </w:rPr>
        <w:t>Strategy.</w:t>
      </w:r>
      <w:r>
        <w:t xml:space="preserve"> Apply Acemoglu-Restrepo: name which specific tasks and worker groups are most exposed to displacement, and what “reinstatement” would have to look like to be real for </w:t>
      </w:r>
      <w:r>
        <w:rPr>
          <w:i/>
          <w:iCs/>
        </w:rPr>
        <w:t>this</w:t>
      </w:r>
      <w:r>
        <w:t xml:space="preserve"> workforce, not just in aggregate. Apply the commitment-problem lens: name which provisions must be statutory entitlements (not discretionary funding lines or voluntary employer guidance) — a retraining fund’s </w:t>
      </w:r>
      <w:r>
        <w:lastRenderedPageBreak/>
        <w:t>legal status, an independent monitoring body, enforceable timelines. Apply Farrell’s reframing: decide whether your central demand is only about compensation for job loss, or also about collective voice over the algorithmic system itself — who gets to see its parameters, contest its outputs, and negotiate changes to it. Use Streeck-Thelen to characterise your own strategy: are you trying to displace management’s current free hand over the system’s design, or layer a new worker-voice institution alongside it without removing management’s authority?</w:t>
      </w:r>
    </w:p>
    <w:p w14:paraId="51E3B786" w14:textId="77777777" w:rsidR="00180562" w:rsidRDefault="00000000">
      <w:pPr>
        <w:numPr>
          <w:ilvl w:val="0"/>
          <w:numId w:val="11"/>
        </w:numPr>
      </w:pPr>
      <w:r>
        <w:rPr>
          <w:b/>
          <w:bCs/>
        </w:rPr>
        <w:t>How.</w:t>
      </w:r>
      <w:r>
        <w:t xml:space="preserve"> Concrete tactics: which actors you approach first and why, what you concede (if anything) to keep Lindmark’s wider labour movement aligned with you, and how you respond if the government or Vesla cites the new campus’s 9,000 jobs as evidence the transition already works for your members.</w:t>
      </w:r>
    </w:p>
    <w:p w14:paraId="28047103" w14:textId="77777777" w:rsidR="00180562" w:rsidRDefault="00000000">
      <w:pPr>
        <w:numPr>
          <w:ilvl w:val="0"/>
          <w:numId w:val="11"/>
        </w:numPr>
      </w:pPr>
      <w:r>
        <w:rPr>
          <w:b/>
          <w:bCs/>
        </w:rPr>
        <w:t>Cross-transition reflection.</w:t>
      </w:r>
      <w:r>
        <w:t xml:space="preserve"> In two or three sentences, name at least two other transitions (climate, demographic, migration, welfare state) that this fight connects to, and say specifically how — not generically.</w:t>
      </w:r>
    </w:p>
    <w:p w14:paraId="4D70580E" w14:textId="77777777" w:rsidR="00180562" w:rsidRDefault="00000000">
      <w:r>
        <w:t>Note: this exercise is deliberately under-determined. You will be assessed on the strength of the reasoning chain (goal → strategy tied to specific frameworks and named mechanisms → concrete tactics → cross-transition reflection), not on whether your side “wins” the plenary hearing.</w:t>
      </w:r>
    </w:p>
    <w:p w14:paraId="69EEF45D" w14:textId="77777777" w:rsidR="00180562" w:rsidRDefault="00000000">
      <w:pPr>
        <w:pStyle w:val="Heading3"/>
      </w:pPr>
      <w:bookmarkStart w:id="5" w:name="background-the-eu-ai-acts-risk-tiers"/>
      <w:bookmarkEnd w:id="4"/>
      <w:r>
        <w:t>Background — the EU AI Act’s risk tiers</w:t>
      </w:r>
    </w:p>
    <w:p w14:paraId="0F21877A" w14:textId="77777777" w:rsidR="00180562" w:rsidRDefault="00000000">
      <w:r>
        <w:t>This is real, binding EU law, not part of the fictional scenario. Use it as raw material for your own argument — how it applies to Vesla OS specifically is contestable, and different teams may argue for different readings.</w:t>
      </w:r>
    </w:p>
    <w:tbl>
      <w:tblPr>
        <w:tblW w:w="5000" w:type="pct"/>
        <w:tblLayout w:type="fixed"/>
        <w:tblLook w:val="0020" w:firstRow="1" w:lastRow="0" w:firstColumn="0" w:lastColumn="0" w:noHBand="0" w:noVBand="0"/>
      </w:tblPr>
      <w:tblGrid>
        <w:gridCol w:w="4428"/>
        <w:gridCol w:w="4428"/>
      </w:tblGrid>
      <w:tr w:rsidR="00180562" w14:paraId="0C3175AF" w14:textId="77777777">
        <w:trPr>
          <w:tblHeader/>
        </w:trPr>
        <w:tc>
          <w:tcPr>
            <w:tcW w:w="3960" w:type="dxa"/>
          </w:tcPr>
          <w:p w14:paraId="1457182F" w14:textId="77777777" w:rsidR="00180562" w:rsidRDefault="00000000">
            <w:r>
              <w:t>Tier</w:t>
            </w:r>
          </w:p>
        </w:tc>
        <w:tc>
          <w:tcPr>
            <w:tcW w:w="3960" w:type="dxa"/>
          </w:tcPr>
          <w:p w14:paraId="6C4773C6" w14:textId="77777777" w:rsidR="00180562" w:rsidRDefault="00000000">
            <w:r>
              <w:t>What it means</w:t>
            </w:r>
          </w:p>
        </w:tc>
      </w:tr>
      <w:tr w:rsidR="00180562" w14:paraId="10861C0D" w14:textId="77777777">
        <w:tc>
          <w:tcPr>
            <w:tcW w:w="3960" w:type="dxa"/>
          </w:tcPr>
          <w:p w14:paraId="607C6CB3" w14:textId="77777777" w:rsidR="00180562" w:rsidRDefault="00000000">
            <w:r>
              <w:t>Unacceptable risk</w:t>
            </w:r>
          </w:p>
        </w:tc>
        <w:tc>
          <w:tcPr>
            <w:tcW w:w="3960" w:type="dxa"/>
          </w:tcPr>
          <w:p w14:paraId="2062FCBA" w14:textId="77777777" w:rsidR="00180562" w:rsidRDefault="00000000">
            <w:r>
              <w:t>Prohibited outright</w:t>
            </w:r>
          </w:p>
        </w:tc>
      </w:tr>
      <w:tr w:rsidR="00180562" w14:paraId="1404AEBA" w14:textId="77777777">
        <w:tc>
          <w:tcPr>
            <w:tcW w:w="3960" w:type="dxa"/>
          </w:tcPr>
          <w:p w14:paraId="03EEE635" w14:textId="77777777" w:rsidR="00180562" w:rsidRDefault="00000000">
            <w:r>
              <w:t>High risk</w:t>
            </w:r>
          </w:p>
        </w:tc>
        <w:tc>
          <w:tcPr>
            <w:tcW w:w="3960" w:type="dxa"/>
          </w:tcPr>
          <w:p w14:paraId="7F023DAA" w14:textId="77777777" w:rsidR="00180562" w:rsidRDefault="00000000">
            <w:r>
              <w:t>Annex III — includes AI systems used for recruitment, task allocation, monitoring or evaluating worker performance and behaviour, or decisions on promotion or termination</w:t>
            </w:r>
          </w:p>
        </w:tc>
      </w:tr>
      <w:tr w:rsidR="00180562" w14:paraId="3823CA3D" w14:textId="77777777">
        <w:tc>
          <w:tcPr>
            <w:tcW w:w="3960" w:type="dxa"/>
          </w:tcPr>
          <w:p w14:paraId="12AFD4BD" w14:textId="77777777" w:rsidR="00180562" w:rsidRDefault="00000000">
            <w:r>
              <w:t>Limited risk</w:t>
            </w:r>
          </w:p>
        </w:tc>
        <w:tc>
          <w:tcPr>
            <w:tcW w:w="3960" w:type="dxa"/>
          </w:tcPr>
          <w:p w14:paraId="7E810EDA" w14:textId="77777777" w:rsidR="00180562" w:rsidRDefault="00000000">
            <w:r>
              <w:t>Transparency obligations only</w:t>
            </w:r>
          </w:p>
        </w:tc>
      </w:tr>
      <w:tr w:rsidR="00180562" w14:paraId="007D146A" w14:textId="77777777">
        <w:tc>
          <w:tcPr>
            <w:tcW w:w="3960" w:type="dxa"/>
          </w:tcPr>
          <w:p w14:paraId="5012688A" w14:textId="77777777" w:rsidR="00180562" w:rsidRDefault="00000000">
            <w:r>
              <w:t>Minimal risk</w:t>
            </w:r>
          </w:p>
        </w:tc>
        <w:tc>
          <w:tcPr>
            <w:tcW w:w="3960" w:type="dxa"/>
          </w:tcPr>
          <w:p w14:paraId="6D4162ED" w14:textId="77777777" w:rsidR="00180562" w:rsidRDefault="00000000">
            <w:r>
              <w:t>No specific obligations</w:t>
            </w:r>
          </w:p>
        </w:tc>
      </w:tr>
    </w:tbl>
    <w:p w14:paraId="5984D2CA" w14:textId="77777777" w:rsidR="00180562" w:rsidRDefault="00000000">
      <w:pPr>
        <w:pStyle w:val="BodyText"/>
      </w:pPr>
      <w:r>
        <w:t>Vesla OS combines four functions: (1) a real-time task-allocation algorithm; (2) wearable biometric sensors tracking fatigue and attention; (3) continuous performance scoring; (4) a predictive termination-risk index surfaced to line managers. Where each function lands on the tiers above, and what follows from that, is not settled — build the argument that serves your side.</w:t>
      </w:r>
    </w:p>
    <w:p w14:paraId="579776A2" w14:textId="77777777" w:rsidR="00180562" w:rsidRDefault="00000000">
      <w:pPr>
        <w:pStyle w:val="Heading3"/>
      </w:pPr>
      <w:bookmarkStart w:id="6" w:name="tool-summary"/>
      <w:bookmarkEnd w:id="5"/>
      <w:r>
        <w:lastRenderedPageBreak/>
        <w:t>Tool summary</w:t>
      </w:r>
    </w:p>
    <w:p w14:paraId="68AF15B1" w14:textId="77777777" w:rsidR="00180562" w:rsidRDefault="00000000">
      <w:r>
        <w:rPr>
          <w:b/>
          <w:bCs/>
        </w:rPr>
        <w:t>Acemoglu and Restrepo’s displacement-reinstatement framework (your primary tool).</w:t>
      </w:r>
      <w:r>
        <w:t xml:space="preserve"> Robots and AI systems substitute for workers in specific tasks (displacement) while, sometimes, new tasks and new industries create new demand for labour (reinstatement). Effects concentrate in routine-manual and routine-cognitive occupations and are not evenly spread across a workforce. Ask: which of your members’ current tasks does the robotic assembly line actually substitute for? Is the new campus’s retraining pipeline reinstatement for </w:t>
      </w:r>
      <w:r>
        <w:rPr>
          <w:i/>
          <w:iCs/>
        </w:rPr>
        <w:t>those specific workers</w:t>
      </w:r>
      <w:r>
        <w:t>, or reinstatement in the aggregate that quietly assumes a different, younger, or more technically qualified workforce?</w:t>
      </w:r>
    </w:p>
    <w:p w14:paraId="1FE01646" w14:textId="77777777" w:rsidR="00180562" w:rsidRDefault="00000000">
      <w:pPr>
        <w:pStyle w:val="BodyText"/>
      </w:pPr>
      <w:r>
        <w:rPr>
          <w:b/>
          <w:bCs/>
        </w:rPr>
        <w:t>The commitment-problem lens (Lecture 5, carried into Lecture 9).</w:t>
      </w:r>
      <w:r>
        <w:t xml:space="preserve"> Employers and governments cannot always credibly promise future retraining or compensation; workers who doubt it will materialise have every reason to resist the change now, while they still have leverage. A retraining fund or a “commitment to consult workers” is only as good as the institutional guarantee behind it — ask what makes a promise binding rather than merely stated.</w:t>
      </w:r>
    </w:p>
    <w:p w14:paraId="72C32F47" w14:textId="77777777" w:rsidR="00180562" w:rsidRDefault="00000000">
      <w:pPr>
        <w:pStyle w:val="BodyText"/>
      </w:pPr>
      <w:r>
        <w:rPr>
          <w:b/>
          <w:bCs/>
        </w:rPr>
        <w:t>Farrell’s reframing of AI as governance, not just technology.</w:t>
      </w:r>
      <w:r>
        <w:t xml:space="preserve"> Vesla OS does not only replace tasks — it allocates work, evaluates performance, and materially shapes who keeps their job. That is a governance function exercised over your members, whether or not Vesla or the government frames it that way. Decide whether your memo claims a stake in that governance function directly (e.g., worker-representative access to the system’s parameters and a right to contest its outputs), not only in its downstream consequences (jobs, pay).</w:t>
      </w:r>
    </w:p>
    <w:p w14:paraId="44F9AB4E" w14:textId="77777777" w:rsidR="00180562" w:rsidRDefault="00000000">
      <w:pPr>
        <w:pStyle w:val="BodyText"/>
      </w:pPr>
      <w:r>
        <w:rPr>
          <w:b/>
          <w:bCs/>
        </w:rPr>
        <w:t>Streeck and Thelen’s institutional-change mechanisms (secondary).</w:t>
      </w:r>
      <w:r>
        <w:t xml:space="preserve"> Drift (rule unchanged, environment changes); conversion (rule redirected to new purposes); layering (new rule added without repealing the old); displacement (old rule actively replaced); exhaustion (institution withers). Characterise your own ask in this vocabulary — it sharpens what you are actually proposing to change.</w:t>
      </w:r>
    </w:p>
    <w:p w14:paraId="392DBA8F" w14:textId="77777777" w:rsidR="00180562" w:rsidRDefault="00000000">
      <w:pPr>
        <w:pStyle w:val="Heading3"/>
      </w:pPr>
      <w:bookmarkStart w:id="7" w:name="case-specifics-from-the-role-brief"/>
      <w:bookmarkEnd w:id="6"/>
      <w:r>
        <w:t>Case specifics (from the role brief)</w:t>
      </w:r>
    </w:p>
    <w:p w14:paraId="2A5AD704" w14:textId="77777777" w:rsidR="00180562" w:rsidRDefault="00000000">
      <w:r>
        <w:t>An independent study commissioned by Lindmark’s Labour Ministry estimates that up to 23,000 of Valexo’s 38,000 current roles are at high displacement risk within five years, concentrated in routine-manual assembly and quality-inspection tasks. Vesla’s new campus is projected to employ roughly 9,000 people at full capacity by 2032 — about a third of those positions earmarked for a retraining pipeline open to displaced Valexo workers, the rest requiring robotics-engineering or AI-oversight qualifications most current workers do not hold.</w:t>
      </w:r>
    </w:p>
    <w:p w14:paraId="79F790D6" w14:textId="77777777" w:rsidR="00180562" w:rsidRDefault="00000000">
      <w:pPr>
        <w:pStyle w:val="BodyText"/>
      </w:pPr>
      <w:r>
        <w:t>Workers who remain at the retrofitted Valexo plants will work under Vesla OS’s task-allocation, biometric-monitoring, performance-scoring, and termination-risk systems. Valexo currently has no works council with any formal role in technology-adoption decisions; a works-council election is scheduled but not yet held.</w:t>
      </w:r>
    </w:p>
    <w:p w14:paraId="297C6086" w14:textId="77777777" w:rsidR="00180562" w:rsidRDefault="00000000">
      <w:pPr>
        <w:pStyle w:val="BodyText"/>
      </w:pPr>
      <w:r>
        <w:rPr>
          <w:b/>
          <w:bCs/>
        </w:rPr>
        <w:t>Stakeholder landscape to work with:</w:t>
      </w:r>
      <w:r>
        <w:t xml:space="preserve"> the LDGA (drafting the national implementing decree); the Ministry of Economic Affairs and the Prime Minister’s Office (publicly </w:t>
      </w:r>
      <w:r>
        <w:lastRenderedPageBreak/>
        <w:t>champion the €2.4bn investment and the jobs figure); Valexo’s management (your direct employer, a licensee of Vesla OS, not its designer — a distinct target from Vesla itself); Vesla’s public-affairs team; Lindmark’s wider labour movement (other unions not directly at risk here, whose political capital you need but don’t control); the yet-to-be-elected Valexo works council; the EU AI Office (sets the binding floor, does not enforce day-to-day).</w:t>
      </w:r>
    </w:p>
    <w:p w14:paraId="238FB50C" w14:textId="77777777" w:rsidR="00180562" w:rsidRDefault="00000000">
      <w:pPr>
        <w:pStyle w:val="BodyText"/>
      </w:pPr>
      <w:r>
        <w:rPr>
          <w:b/>
          <w:bCs/>
        </w:rPr>
        <w:t>Intelligence on the other two sides:</w:t>
      </w:r>
      <w:r>
        <w:t xml:space="preserve"> the LDGA is under real pressure from the Ministry of Economic Affairs and the Prime Minister’s Office not to be seen as jeopardising the €2.4bn investment or the 9,000-job figure — watch for the government citing the campus jobs, in public messaging, as evidence the transition already works. Vesla’s team wants predictable, minimally burdensome compliance obligations and does not want to be publicly associated with the displacement risk at Valexo’s plants, which it does not own — it may try to draw a sharp line between “our campus” (a story of job creation) and “Valexo’s retrofit” (someone else’s licensing decision), even though Vesla designed the system running in both places.</w:t>
      </w:r>
    </w:p>
    <w:p w14:paraId="5B2141F5" w14:textId="77777777" w:rsidR="00180562" w:rsidRDefault="00000000">
      <w:pPr>
        <w:pStyle w:val="Heading3"/>
      </w:pPr>
      <w:bookmarkStart w:id="8" w:name="discussion-questions-for-your-plan"/>
      <w:bookmarkEnd w:id="7"/>
      <w:r>
        <w:t>Discussion questions for your plan</w:t>
      </w:r>
    </w:p>
    <w:p w14:paraId="25EC417A" w14:textId="77777777" w:rsidR="00180562" w:rsidRDefault="00000000">
      <w:pPr>
        <w:numPr>
          <w:ilvl w:val="0"/>
          <w:numId w:val="12"/>
        </w:numPr>
      </w:pPr>
      <w:r>
        <w:t>Which specific protection is most at risk of becoming employer guidance rather than a statutory entitlement — and what institutional design would fix that?</w:t>
      </w:r>
    </w:p>
    <w:p w14:paraId="7398A741" w14:textId="77777777" w:rsidR="00180562" w:rsidRDefault="00000000">
      <w:pPr>
        <w:numPr>
          <w:ilvl w:val="0"/>
          <w:numId w:val="12"/>
        </w:numPr>
      </w:pPr>
      <w:r>
        <w:t>Is a campus job at Vesla actually equivalent, for your members, to the job they currently hold at Valexo? What’s your answer if the government or Vesla implies it is?</w:t>
      </w:r>
    </w:p>
    <w:p w14:paraId="425562D2" w14:textId="77777777" w:rsidR="00180562" w:rsidRDefault="00000000">
      <w:pPr>
        <w:numPr>
          <w:ilvl w:val="0"/>
          <w:numId w:val="12"/>
        </w:numPr>
      </w:pPr>
      <w:r>
        <w:t>Apply Acemoglu-Restrepo directly to this workforce: which specific tasks are exposed, and does the retraining pipeline actually reach the workers whose tasks are exposed, or a different pool entirely?</w:t>
      </w:r>
    </w:p>
    <w:p w14:paraId="60BCF604" w14:textId="77777777" w:rsidR="00180562" w:rsidRDefault="00000000">
      <w:pPr>
        <w:numPr>
          <w:ilvl w:val="0"/>
          <w:numId w:val="12"/>
        </w:numPr>
      </w:pPr>
      <w:r>
        <w:t>Farrell argues AI is governance, not just technology. If you had to pick one governance power to claim first — visibility into the system’s parameters, or a right to contest its outputs — which one, and why that one first?</w:t>
      </w:r>
    </w:p>
    <w:p w14:paraId="4C36EE97" w14:textId="77777777" w:rsidR="00180562" w:rsidRDefault="00000000">
      <w:pPr>
        <w:numPr>
          <w:ilvl w:val="0"/>
          <w:numId w:val="12"/>
        </w:numPr>
      </w:pPr>
      <w:r>
        <w:t>If other, less-exposed parts of Lindmark’s labour movement push back on how much political capital you’re asking them to spend on your fight, what do you say to keep them onside?</w:t>
      </w:r>
    </w:p>
    <w:p w14:paraId="726BE959" w14:textId="77777777" w:rsidR="00180562" w:rsidRDefault="00000000">
      <w:r>
        <w:br w:type="page"/>
      </w:r>
    </w:p>
    <w:p w14:paraId="30E3FB03" w14:textId="77777777" w:rsidR="00180562" w:rsidRDefault="00000000">
      <w:pPr>
        <w:pStyle w:val="Heading1"/>
      </w:pPr>
      <w:bookmarkStart w:id="9" w:name="X1f68f2495d6e8bc2e29ee5a2e3489cba64403a6"/>
      <w:bookmarkEnd w:id="0"/>
      <w:bookmarkEnd w:id="1"/>
      <w:bookmarkEnd w:id="8"/>
      <w:r>
        <w:lastRenderedPageBreak/>
        <w:t>The Lindmark Decree — Simulation Worksheet</w:t>
      </w:r>
    </w:p>
    <w:p w14:paraId="35216959" w14:textId="77777777" w:rsidR="00180562" w:rsidRDefault="00000000">
      <w:pPr>
        <w:pStyle w:val="Heading2"/>
      </w:pPr>
      <w:bookmarkStart w:id="10" w:name="Xe33465df4928194b1a76072c6116759c422c164"/>
      <w:r>
        <w:t>Lindmark Digital Governance Authority (LDGA)</w:t>
      </w:r>
    </w:p>
    <w:p w14:paraId="5DD34B34" w14:textId="77777777" w:rsidR="00180562" w:rsidRDefault="00000000">
      <w:r>
        <w:rPr>
          <w:i/>
          <w:iCs/>
        </w:rPr>
        <w:t>IR227 Seminar 11 (simulation variant) — Group worksheet</w:t>
      </w:r>
    </w:p>
    <w:p w14:paraId="0DF8FBDC" w14:textId="77777777" w:rsidR="00180562" w:rsidRDefault="00000000">
      <w:pPr>
        <w:pStyle w:val="Heading3"/>
      </w:pPr>
      <w:bookmarkStart w:id="11" w:name="setting-1"/>
      <w:r>
        <w:t>Setting</w:t>
      </w:r>
    </w:p>
    <w:p w14:paraId="23E2E4F7" w14:textId="77777777" w:rsidR="00180562" w:rsidRDefault="00000000">
      <w:r>
        <w:t>Lindmark is a mid-sized country in the heart of the European Union, home to roughly 9 million people. Its industrial base is anchored by Valexo Industrial, a domestic auto-parts manufacturer whose three plants employ roughly 38,000 workers combined, making engine components, transmissions, and wiring systems for automakers across the EU.</w:t>
      </w:r>
    </w:p>
    <w:p w14:paraId="52769A7E" w14:textId="77777777" w:rsidR="00180562" w:rsidRDefault="00000000">
      <w:pPr>
        <w:pStyle w:val="BodyText"/>
      </w:pPr>
      <w:r>
        <w:t>It is spring 2026. Your team staffs the Lindmark Digital Governance Authority (LDGA), the national body responsible for both AI Act implementation and data protection, charged with finalising Lindmark’s national implementing decree before the EU AI Act’s high-risk obligations bind on 2 August 2026. Eight weeks ago, Vesla — a European AI-and-robotics firm — announced a €2.4bn investment in a new manufacturing campus in Lindmark, and separately signed a licensing agreement with Valexo to deploy its Vesla OS platform across robotic assembly lines in two of Valexo’s three plants.</w:t>
      </w:r>
    </w:p>
    <w:p w14:paraId="2B11A78B" w14:textId="77777777" w:rsidR="00180562" w:rsidRDefault="00000000">
      <w:pPr>
        <w:pStyle w:val="Heading3"/>
      </w:pPr>
      <w:bookmarkStart w:id="12" w:name="task-1"/>
      <w:bookmarkEnd w:id="11"/>
      <w:r>
        <w:t>Task</w:t>
      </w:r>
    </w:p>
    <w:p w14:paraId="5F555C2E" w14:textId="77777777" w:rsidR="00180562" w:rsidRDefault="00000000">
      <w:r>
        <w:t xml:space="preserve">Produce a </w:t>
      </w:r>
      <w:r>
        <w:rPr>
          <w:b/>
          <w:bCs/>
        </w:rPr>
        <w:t>national implementing white paper</w:t>
      </w:r>
      <w:r>
        <w:t xml:space="preserve"> built around one question: the EU AI Act sets a floor — what, specifically, do you build on top of it, and what does building it cost you with each of the other two sides?</w:t>
      </w:r>
    </w:p>
    <w:p w14:paraId="68BE44FF" w14:textId="77777777" w:rsidR="00180562" w:rsidRDefault="00000000">
      <w:pPr>
        <w:pStyle w:val="BodyText"/>
      </w:pPr>
      <w:r>
        <w:t>The analytical tools you will deploy are: Lecture 8’s institutional-change-mechanisms typology, Farrell’s reframing of AI as governance, Meckling and colleagues’ green/digital-industrial-policy coalition logic, and the “conditions as strategy, not given” move from Lecture 9.</w:t>
      </w:r>
    </w:p>
    <w:p w14:paraId="6669E73E" w14:textId="77777777" w:rsidR="00180562" w:rsidRDefault="00000000">
      <w:pPr>
        <w:pStyle w:val="Heading3"/>
      </w:pPr>
      <w:bookmarkStart w:id="13" w:name="requirements-1"/>
      <w:bookmarkEnd w:id="12"/>
      <w:r>
        <w:t>Requirements</w:t>
      </w:r>
    </w:p>
    <w:p w14:paraId="07D911FD" w14:textId="77777777" w:rsidR="00180562" w:rsidRDefault="00000000">
      <w:r>
        <w:t>Your white paper must include:</w:t>
      </w:r>
    </w:p>
    <w:p w14:paraId="2D93CFEF" w14:textId="77777777" w:rsidR="00180562" w:rsidRDefault="00000000">
      <w:pPr>
        <w:numPr>
          <w:ilvl w:val="0"/>
          <w:numId w:val="13"/>
        </w:numPr>
      </w:pPr>
      <w:r>
        <w:rPr>
          <w:b/>
          <w:bCs/>
        </w:rPr>
        <w:t>Goal.</w:t>
      </w:r>
      <w:r>
        <w:t xml:space="preserve"> State precisely what the national decree must achieve beyond “transpose the EU AI Act’s minimums” — specifically on enforcement intensity for the Valexo case and on whether Lindmark’s own labour law will give workers any independent voice over high-risk workplace AI systems.</w:t>
      </w:r>
    </w:p>
    <w:p w14:paraId="1A9CC012" w14:textId="77777777" w:rsidR="00180562" w:rsidRDefault="00000000">
      <w:pPr>
        <w:numPr>
          <w:ilvl w:val="0"/>
          <w:numId w:val="13"/>
        </w:numPr>
      </w:pPr>
      <w:r>
        <w:rPr>
          <w:b/>
          <w:bCs/>
        </w:rPr>
        <w:t>Strategy.</w:t>
      </w:r>
      <w:r>
        <w:t xml:space="preserve"> Apply Lecture 8’s typology: is a national decree that adds enforcement and worker-voice obligations on top of the EU AI Act’s floor best described as </w:t>
      </w:r>
      <w:r>
        <w:rPr>
          <w:i/>
          <w:iCs/>
        </w:rPr>
        <w:t>layering</w:t>
      </w:r>
      <w:r>
        <w:t xml:space="preserve"> — and if so, what exactly is it layered onto, and what does it leave undisturbed? Apply Farrell’s reframing: decide, explicitly, whether your decree treats Vesla OS primarily as a labour-market technology to be monitored for job losses, or as a governance system whose exercise of power over workers is itself the thing being regulated — these lead to different decrees. Apply the “conditions as strategy” move: if credible institutional design is the piece the EU-level rules leave </w:t>
      </w:r>
      <w:r>
        <w:lastRenderedPageBreak/>
        <w:t>to member states, propose the specific national mechanism that builds it (an independent audit body, a statutory worker-representative right to see and contest a high-risk system’s parameters, indexed penalties) rather than treating the gap as someone else’s problem. Use Meckling’s coalition logic to decide, explicitly, whether and how to use Vesla’s €2.4bn investment as coalition capital — and what you owe the Lindmark Autoworkers’ Federation if you do.</w:t>
      </w:r>
    </w:p>
    <w:p w14:paraId="0A812784" w14:textId="77777777" w:rsidR="00180562" w:rsidRDefault="00000000">
      <w:pPr>
        <w:numPr>
          <w:ilvl w:val="0"/>
          <w:numId w:val="13"/>
        </w:numPr>
      </w:pPr>
      <w:r>
        <w:rPr>
          <w:b/>
          <w:bCs/>
        </w:rPr>
        <w:t>How.</w:t>
      </w:r>
      <w:r>
        <w:t xml:space="preserve"> Concrete institutional moves: the sequencing of consultation with LAF, Valexo, and Vesla; how you keep the investment from becoming a reason to under-enforce the AI Act’s existing obligations; and how (if at all) you use the still-unheld Valexo works-council election as a lever in your decree’s design.</w:t>
      </w:r>
    </w:p>
    <w:p w14:paraId="17D5B68B" w14:textId="77777777" w:rsidR="00180562" w:rsidRDefault="00000000">
      <w:pPr>
        <w:numPr>
          <w:ilvl w:val="0"/>
          <w:numId w:val="13"/>
        </w:numPr>
      </w:pPr>
      <w:r>
        <w:rPr>
          <w:b/>
          <w:bCs/>
        </w:rPr>
        <w:t>Cross-transition reflection.</w:t>
      </w:r>
      <w:r>
        <w:t xml:space="preserve"> In two or three sentences, name at least two other transitions (climate, demographic, migration, welfare state) that this decree connects to, and say specifically how — not generically.</w:t>
      </w:r>
    </w:p>
    <w:p w14:paraId="7CC89FD3" w14:textId="77777777" w:rsidR="00180562" w:rsidRDefault="00000000">
      <w:r>
        <w:t>Note: this exercise is deliberately under-determined. You will be assessed on the strength of the reasoning chain (goal → strategy tied to specific frameworks and a named institutional mechanism → concrete institutional moves → cross-transition reflection), not on whether your side “wins” the plenary hearing.</w:t>
      </w:r>
    </w:p>
    <w:p w14:paraId="37A85DBC" w14:textId="77777777" w:rsidR="00180562" w:rsidRDefault="00000000">
      <w:pPr>
        <w:pStyle w:val="Heading3"/>
      </w:pPr>
      <w:bookmarkStart w:id="14" w:name="background-the-eu-ai-acts-risk-tiers-1"/>
      <w:bookmarkEnd w:id="13"/>
      <w:r>
        <w:t>Background — the EU AI Act’s risk tiers</w:t>
      </w:r>
    </w:p>
    <w:p w14:paraId="5120C758" w14:textId="77777777" w:rsidR="00180562" w:rsidRDefault="00000000">
      <w:r>
        <w:t>This is real, binding EU law, not part of the fictional scenario. Use it as raw material for your own argument — how it applies to Vesla OS specifically is contestable, and different teams may argue for different readings.</w:t>
      </w:r>
    </w:p>
    <w:tbl>
      <w:tblPr>
        <w:tblW w:w="5000" w:type="pct"/>
        <w:tblLayout w:type="fixed"/>
        <w:tblLook w:val="0020" w:firstRow="1" w:lastRow="0" w:firstColumn="0" w:lastColumn="0" w:noHBand="0" w:noVBand="0"/>
      </w:tblPr>
      <w:tblGrid>
        <w:gridCol w:w="4428"/>
        <w:gridCol w:w="4428"/>
      </w:tblGrid>
      <w:tr w:rsidR="00180562" w14:paraId="147D0A46" w14:textId="77777777">
        <w:trPr>
          <w:tblHeader/>
        </w:trPr>
        <w:tc>
          <w:tcPr>
            <w:tcW w:w="3960" w:type="dxa"/>
          </w:tcPr>
          <w:p w14:paraId="718C50D5" w14:textId="77777777" w:rsidR="00180562" w:rsidRDefault="00000000">
            <w:r>
              <w:t>Tier</w:t>
            </w:r>
          </w:p>
        </w:tc>
        <w:tc>
          <w:tcPr>
            <w:tcW w:w="3960" w:type="dxa"/>
          </w:tcPr>
          <w:p w14:paraId="2F0601BA" w14:textId="77777777" w:rsidR="00180562" w:rsidRDefault="00000000">
            <w:r>
              <w:t>What it means</w:t>
            </w:r>
          </w:p>
        </w:tc>
      </w:tr>
      <w:tr w:rsidR="00180562" w14:paraId="4460F2CE" w14:textId="77777777">
        <w:tc>
          <w:tcPr>
            <w:tcW w:w="3960" w:type="dxa"/>
          </w:tcPr>
          <w:p w14:paraId="1BFFE0C5" w14:textId="77777777" w:rsidR="00180562" w:rsidRDefault="00000000">
            <w:r>
              <w:t>Unacceptable risk</w:t>
            </w:r>
          </w:p>
        </w:tc>
        <w:tc>
          <w:tcPr>
            <w:tcW w:w="3960" w:type="dxa"/>
          </w:tcPr>
          <w:p w14:paraId="425EA807" w14:textId="77777777" w:rsidR="00180562" w:rsidRDefault="00000000">
            <w:r>
              <w:t>Prohibited outright</w:t>
            </w:r>
          </w:p>
        </w:tc>
      </w:tr>
      <w:tr w:rsidR="00180562" w14:paraId="3BAAEF7A" w14:textId="77777777">
        <w:tc>
          <w:tcPr>
            <w:tcW w:w="3960" w:type="dxa"/>
          </w:tcPr>
          <w:p w14:paraId="564F8FA4" w14:textId="77777777" w:rsidR="00180562" w:rsidRDefault="00000000">
            <w:r>
              <w:t>High risk</w:t>
            </w:r>
          </w:p>
        </w:tc>
        <w:tc>
          <w:tcPr>
            <w:tcW w:w="3960" w:type="dxa"/>
          </w:tcPr>
          <w:p w14:paraId="4546795E" w14:textId="77777777" w:rsidR="00180562" w:rsidRDefault="00000000">
            <w:r>
              <w:t>Annex III — includes AI systems used for recruitment, task allocation, monitoring or evaluating worker performance and behaviour, or decisions on promotion or termination</w:t>
            </w:r>
          </w:p>
        </w:tc>
      </w:tr>
      <w:tr w:rsidR="00180562" w14:paraId="69AC38ED" w14:textId="77777777">
        <w:tc>
          <w:tcPr>
            <w:tcW w:w="3960" w:type="dxa"/>
          </w:tcPr>
          <w:p w14:paraId="27B1FD7A" w14:textId="77777777" w:rsidR="00180562" w:rsidRDefault="00000000">
            <w:r>
              <w:t>Limited risk</w:t>
            </w:r>
          </w:p>
        </w:tc>
        <w:tc>
          <w:tcPr>
            <w:tcW w:w="3960" w:type="dxa"/>
          </w:tcPr>
          <w:p w14:paraId="72560935" w14:textId="77777777" w:rsidR="00180562" w:rsidRDefault="00000000">
            <w:r>
              <w:t>Transparency obligations only</w:t>
            </w:r>
          </w:p>
        </w:tc>
      </w:tr>
      <w:tr w:rsidR="00180562" w14:paraId="3C5B0A94" w14:textId="77777777">
        <w:tc>
          <w:tcPr>
            <w:tcW w:w="3960" w:type="dxa"/>
          </w:tcPr>
          <w:p w14:paraId="0F10D3E9" w14:textId="77777777" w:rsidR="00180562" w:rsidRDefault="00000000">
            <w:r>
              <w:t>Minimal risk</w:t>
            </w:r>
          </w:p>
        </w:tc>
        <w:tc>
          <w:tcPr>
            <w:tcW w:w="3960" w:type="dxa"/>
          </w:tcPr>
          <w:p w14:paraId="139E5622" w14:textId="77777777" w:rsidR="00180562" w:rsidRDefault="00000000">
            <w:r>
              <w:t>No specific obligations</w:t>
            </w:r>
          </w:p>
        </w:tc>
      </w:tr>
    </w:tbl>
    <w:p w14:paraId="0BB19A66" w14:textId="77777777" w:rsidR="00180562" w:rsidRDefault="00000000">
      <w:pPr>
        <w:pStyle w:val="BodyText"/>
      </w:pPr>
      <w:r>
        <w:t>Vesla OS combines four functions: (1) a real-time task-allocation algorithm; (2) wearable biometric sensors tracking fatigue and attention; (3) continuous performance scoring; (4) a predictive termination-risk index surfaced to line managers. Where each function lands on the tiers above, and what follows from that, is not settled — your decree is where Lindmark’s own answer gets written down.</w:t>
      </w:r>
    </w:p>
    <w:p w14:paraId="377CEB3C" w14:textId="77777777" w:rsidR="00180562" w:rsidRDefault="00000000">
      <w:pPr>
        <w:pStyle w:val="Heading3"/>
      </w:pPr>
      <w:bookmarkStart w:id="15" w:name="tool-summary-1"/>
      <w:bookmarkEnd w:id="14"/>
      <w:r>
        <w:lastRenderedPageBreak/>
        <w:t>Tool summary</w:t>
      </w:r>
    </w:p>
    <w:p w14:paraId="4E592EC5" w14:textId="77777777" w:rsidR="00180562" w:rsidRDefault="00000000">
      <w:r>
        <w:rPr>
          <w:b/>
          <w:bCs/>
        </w:rPr>
        <w:t>Lecture 8’s institutional-change-mechanisms typology (your primary tool).</w:t>
      </w:r>
      <w:r>
        <w:t xml:space="preserve"> Drift (rule unchanged, environment changes); conversion (rule redirected to new purposes); layering (new rule added without repealing the old); displacement (old rule actively replaced); exhaustion (institution withers). A national decree implementing an EU regulation is close to a textbook layering case — ask what it is layered onto (the AI Act’s floor; Lindmark’s existing labour law, or the absence of it) and whether “layering” undersells what LAF is actually asking you to do.</w:t>
      </w:r>
    </w:p>
    <w:p w14:paraId="4E640A77" w14:textId="77777777" w:rsidR="00180562" w:rsidRDefault="00000000">
      <w:pPr>
        <w:pStyle w:val="BodyText"/>
      </w:pPr>
      <w:r>
        <w:rPr>
          <w:b/>
          <w:bCs/>
        </w:rPr>
        <w:t>Farrell’s reframing of AI as governance, not just technology.</w:t>
      </w:r>
      <w:r>
        <w:t xml:space="preserve"> Vesla OS does not only affect the labour market — it allocates work, scores performance, and shapes termination decisions. That is a governance function. Your decree has to decide, explicitly, which register it is regulating: the technology’s labour-market effects, its exercise of power over workers, or both — and the answer changes what counts as adequate enforcement.</w:t>
      </w:r>
    </w:p>
    <w:p w14:paraId="6EF25B55" w14:textId="77777777" w:rsidR="00180562" w:rsidRDefault="00000000">
      <w:pPr>
        <w:pStyle w:val="BodyText"/>
      </w:pPr>
      <w:r>
        <w:rPr>
          <w:b/>
          <w:bCs/>
        </w:rPr>
        <w:t>Meckling and colleagues’ green/digital-industrial-policy coalition logic.</w:t>
      </w:r>
      <w:r>
        <w:t xml:space="preserve"> Large-scale industrial investment builds political coalitions that make harder regulatory measures sustainable later — but only if someone deliberately connects the investment to the coalition that needs building. Vesla’s campus is this kind of asset whether or not you frame it that way; decide deliberately whether and how to spend it as coalition capital, and what you owe LAF if you do.</w:t>
      </w:r>
    </w:p>
    <w:p w14:paraId="62A6BF7E" w14:textId="77777777" w:rsidR="00180562" w:rsidRDefault="00000000">
      <w:pPr>
        <w:pStyle w:val="BodyText"/>
      </w:pPr>
      <w:r>
        <w:rPr>
          <w:b/>
          <w:bCs/>
        </w:rPr>
        <w:t>“Conditions as strategy, not given” (Lecture 9, secondary).</w:t>
      </w:r>
      <w:r>
        <w:t xml:space="preserve"> If a case has a missing condition for credible governance — here, institutional design that gives workers a genuine, enforceable stake in a high-risk system’s design — the strategy is to build it, not wait for it or leave it to the employer’s discretion.</w:t>
      </w:r>
    </w:p>
    <w:p w14:paraId="320D291B" w14:textId="77777777" w:rsidR="00180562" w:rsidRDefault="00000000">
      <w:pPr>
        <w:pStyle w:val="Heading3"/>
      </w:pPr>
      <w:bookmarkStart w:id="16" w:name="case-specifics-from-the-role-brief-1"/>
      <w:bookmarkEnd w:id="15"/>
      <w:r>
        <w:t>Case specifics (from the role brief)</w:t>
      </w:r>
    </w:p>
    <w:p w14:paraId="3DEEAC9A" w14:textId="77777777" w:rsidR="00180562" w:rsidRDefault="00000000">
      <w:r>
        <w:t>The EU AI Act (Regulation 2024/1689) entered into force in August 2024; high-risk obligations bind across the EU from 2 August 2026. Lindmark must have its national implementing framework — including designation of a market-surveillance authority, penalty structure, and any complementary national rules — ready by that date. The LDGA was created by merging Lindmark’s former data-protection authority with a new AI-oversight mandate; it is formally independent but reports administratively through channels that also handle the Ministry of Economic Affairs’ industrial-strategy portfolio.</w:t>
      </w:r>
    </w:p>
    <w:p w14:paraId="086067D7" w14:textId="77777777" w:rsidR="00180562" w:rsidRDefault="00000000">
      <w:pPr>
        <w:pStyle w:val="BodyText"/>
      </w:pPr>
      <w:r>
        <w:t>Eight weeks ago, Vesla announced its €2.4bn campus investment, projected to employ roughly 9,000 people at full capacity by 2032. The Prime Minister’s Office and the Ministry of Economic Affairs have both publicly celebrated the announcement. Separately, and with far less public attention, Valexo signed a modernisation and licensing agreement with Vesla to deploy Vesla OS-managed robotic assembly lines across two of its three plants. A Labour Ministry-commissioned study estimates up to 23,000 of Valexo’s current roles are at high displacement risk within five years.</w:t>
      </w:r>
    </w:p>
    <w:p w14:paraId="757C590D" w14:textId="77777777" w:rsidR="00180562" w:rsidRDefault="00000000">
      <w:pPr>
        <w:pStyle w:val="BodyText"/>
      </w:pPr>
      <w:r>
        <w:rPr>
          <w:b/>
          <w:bCs/>
        </w:rPr>
        <w:t>Institutional landscape to work with:</w:t>
      </w:r>
      <w:r>
        <w:t xml:space="preserve"> LAF and Lindmark’s wider labour movement (will accept nothing less than statutory, enforceable worker-voice provisions); Valexo’s </w:t>
      </w:r>
      <w:r>
        <w:lastRenderedPageBreak/>
        <w:t>management (wants a workable, predictable compliance timeline, not necessarily aligned with Vesla on every point); Vesla’s public-affairs team (wants light-touch, EU-floor-only enforcement); the EU AI Office (coordinates but does not substitute for national enforcement capacity); the not-yet-elected Valexo works council; the Ministry of Economic Affairs and the Prime Minister’s Office (want the investment protected from anything read as “anti-business” ahead of it being fully realised).</w:t>
      </w:r>
    </w:p>
    <w:p w14:paraId="3E713F89" w14:textId="77777777" w:rsidR="00180562" w:rsidRDefault="00000000">
      <w:pPr>
        <w:pStyle w:val="BodyText"/>
      </w:pPr>
      <w:r>
        <w:rPr>
          <w:b/>
          <w:bCs/>
        </w:rPr>
        <w:t>Intelligence on the other two sides:</w:t>
      </w:r>
      <w:r>
        <w:t xml:space="preserve"> LAF will treat any suggestion that Vesla’s campus jobs substitute for Valexo-specific protections as bad faith, and will press hard on which provisions are statutory versus merely guidance. Vesla’s team will resist obligations that go beyond the EU AI Act’s own text, and will argue that anything stricter risks the investment itself — a claim you should expect and should not accept uncritically.</w:t>
      </w:r>
    </w:p>
    <w:p w14:paraId="199F2F55" w14:textId="77777777" w:rsidR="00180562" w:rsidRDefault="00000000">
      <w:pPr>
        <w:pStyle w:val="Heading3"/>
      </w:pPr>
      <w:bookmarkStart w:id="17" w:name="discussion-questions-for-your-plan-1"/>
      <w:bookmarkEnd w:id="16"/>
      <w:r>
        <w:t>Discussion questions for your plan</w:t>
      </w:r>
    </w:p>
    <w:p w14:paraId="0AE78B13" w14:textId="77777777" w:rsidR="00180562" w:rsidRDefault="00000000">
      <w:pPr>
        <w:numPr>
          <w:ilvl w:val="0"/>
          <w:numId w:val="14"/>
        </w:numPr>
      </w:pPr>
      <w:r>
        <w:t>Which specific enforcement or worker-voice gap is hardest to close within your legal authority, and why?</w:t>
      </w:r>
    </w:p>
    <w:p w14:paraId="6FCF1E68" w14:textId="77777777" w:rsidR="00180562" w:rsidRDefault="00000000">
      <w:pPr>
        <w:numPr>
          <w:ilvl w:val="0"/>
          <w:numId w:val="14"/>
        </w:numPr>
      </w:pPr>
      <w:r>
        <w:t>Should the decree mention Vesla’s campus investment at all — and if so, how do you avoid implying it substitutes for Valexo-specific protections?</w:t>
      </w:r>
    </w:p>
    <w:p w14:paraId="77CE790F" w14:textId="77777777" w:rsidR="00180562" w:rsidRDefault="00000000">
      <w:pPr>
        <w:numPr>
          <w:ilvl w:val="0"/>
          <w:numId w:val="14"/>
        </w:numPr>
      </w:pPr>
      <w:r>
        <w:t>What is the Ministry of Economic Affairs’ actual incentive here, and how does it constrain your options?</w:t>
      </w:r>
    </w:p>
    <w:p w14:paraId="47072943" w14:textId="77777777" w:rsidR="00180562" w:rsidRDefault="00000000">
      <w:pPr>
        <w:numPr>
          <w:ilvl w:val="0"/>
          <w:numId w:val="14"/>
        </w:numPr>
      </w:pPr>
      <w:r>
        <w:t>If LAF and Vesla’s asks genuinely conflict — enforcement stringency versus investment certainty — what is your actual answer, specifically, not just “we’ll balance both”?</w:t>
      </w:r>
    </w:p>
    <w:p w14:paraId="78C6D012" w14:textId="77777777" w:rsidR="00180562" w:rsidRDefault="00000000">
      <w:pPr>
        <w:numPr>
          <w:ilvl w:val="0"/>
          <w:numId w:val="14"/>
        </w:numPr>
      </w:pPr>
      <w:r>
        <w:t>Of Lecture 9’s “build the missing condition” levers, which is cheapest for you to pull within existing law, and which requires new legislation you don’t yet have?</w:t>
      </w:r>
    </w:p>
    <w:p w14:paraId="7E292F7B" w14:textId="77777777" w:rsidR="00180562" w:rsidRDefault="00000000">
      <w:r>
        <w:br w:type="page"/>
      </w:r>
    </w:p>
    <w:p w14:paraId="0D0F8616" w14:textId="77777777" w:rsidR="00180562" w:rsidRDefault="00000000">
      <w:pPr>
        <w:pStyle w:val="Heading1"/>
      </w:pPr>
      <w:bookmarkStart w:id="18" w:name="Xd6c1d76267c9b05a773a9a8d0f24a58e9ae89b3"/>
      <w:bookmarkEnd w:id="9"/>
      <w:bookmarkEnd w:id="10"/>
      <w:bookmarkEnd w:id="17"/>
      <w:r>
        <w:lastRenderedPageBreak/>
        <w:t>The Lindmark Decree — Simulation Worksheet</w:t>
      </w:r>
    </w:p>
    <w:p w14:paraId="2797ABF9" w14:textId="77777777" w:rsidR="00180562" w:rsidRDefault="00000000">
      <w:pPr>
        <w:pStyle w:val="Heading2"/>
      </w:pPr>
      <w:bookmarkStart w:id="19" w:name="vesla-public-affairs-team"/>
      <w:r>
        <w:t>Vesla Public-Affairs Team</w:t>
      </w:r>
    </w:p>
    <w:p w14:paraId="00AD28DB" w14:textId="77777777" w:rsidR="00180562" w:rsidRDefault="00000000">
      <w:r>
        <w:rPr>
          <w:i/>
          <w:iCs/>
        </w:rPr>
        <w:t>IR227 Seminar 11 (simulation variant) — Group worksheet</w:t>
      </w:r>
    </w:p>
    <w:p w14:paraId="0E051248" w14:textId="77777777" w:rsidR="00180562" w:rsidRDefault="00000000">
      <w:pPr>
        <w:pStyle w:val="Heading3"/>
      </w:pPr>
      <w:bookmarkStart w:id="20" w:name="setting-2"/>
      <w:r>
        <w:t>Setting</w:t>
      </w:r>
    </w:p>
    <w:p w14:paraId="739B1AE3" w14:textId="77777777" w:rsidR="00180562" w:rsidRDefault="00000000">
      <w:r>
        <w:t>Lindmark is a mid-sized country in the heart of the European Union, home to roughly 9 million people. Its industrial base is anchored by Valexo Industrial, a domestic auto-parts manufacturer whose three plants employ roughly 38,000 workers combined, making engine components, transmissions, and wiring systems for automakers across the EU.</w:t>
      </w:r>
    </w:p>
    <w:p w14:paraId="20636DCA" w14:textId="77777777" w:rsidR="00180562" w:rsidRDefault="00000000">
      <w:pPr>
        <w:pStyle w:val="BodyText"/>
      </w:pPr>
      <w:r>
        <w:t>It is spring 2026. Eight weeks ago, your company, Vesla, announced a €2.4bn investment in a new manufacturing campus in Lindmark — and separately licensed your Vesla OS platform to Valexo Industrial, Lindmark’s largest employer, to manage newly robotic assembly lines across two of its three plants.</w:t>
      </w:r>
    </w:p>
    <w:p w14:paraId="2177AF3C" w14:textId="77777777" w:rsidR="00180562" w:rsidRDefault="00000000">
      <w:pPr>
        <w:pStyle w:val="Heading3"/>
      </w:pPr>
      <w:bookmarkStart w:id="21" w:name="task-2"/>
      <w:bookmarkEnd w:id="20"/>
      <w:r>
        <w:t>Task</w:t>
      </w:r>
    </w:p>
    <w:p w14:paraId="078A43E7" w14:textId="77777777" w:rsidR="00180562" w:rsidRDefault="00000000">
      <w:r>
        <w:t xml:space="preserve">Your team is Vesla’s public-affairs and government-relations office. Produce a </w:t>
      </w:r>
      <w:r>
        <w:rPr>
          <w:b/>
          <w:bCs/>
        </w:rPr>
        <w:t>market access and compliance plan</w:t>
      </w:r>
      <w:r>
        <w:t xml:space="preserve">: a strategy document for the meetings ahead with the LDGA and the Lindmark Autoworkers’ Federation, built around a deliberate answer to the question — </w:t>
      </w:r>
      <w:r>
        <w:rPr>
          <w:i/>
          <w:iCs/>
        </w:rPr>
        <w:t>which Streeck-Thelen mechanism of institutional change actually helps your position, and how do you use it?</w:t>
      </w:r>
    </w:p>
    <w:p w14:paraId="5E5BA3BF" w14:textId="77777777" w:rsidR="00180562" w:rsidRDefault="00000000">
      <w:pPr>
        <w:pStyle w:val="BodyText"/>
      </w:pPr>
      <w:r>
        <w:t>The analytical tools you will deploy are: Streeck and Thelen’s institutional-change typology, Acemoglu and Restrepo’s displacement-reinstatement framework, stakeholder mapping (power/interest grid), and Meckling and colleagues’ green/digital-industrial-policy coalition logic.</w:t>
      </w:r>
    </w:p>
    <w:p w14:paraId="7CA5C461" w14:textId="77777777" w:rsidR="00180562" w:rsidRDefault="00000000">
      <w:pPr>
        <w:pStyle w:val="Heading3"/>
      </w:pPr>
      <w:bookmarkStart w:id="22" w:name="requirements-2"/>
      <w:bookmarkEnd w:id="21"/>
      <w:r>
        <w:t>Requirements</w:t>
      </w:r>
    </w:p>
    <w:p w14:paraId="7E6BAFF3" w14:textId="77777777" w:rsidR="00180562" w:rsidRDefault="00000000">
      <w:r>
        <w:t>Your plan must include:</w:t>
      </w:r>
    </w:p>
    <w:p w14:paraId="044A0115" w14:textId="77777777" w:rsidR="00180562" w:rsidRDefault="00000000">
      <w:pPr>
        <w:numPr>
          <w:ilvl w:val="0"/>
          <w:numId w:val="15"/>
        </w:numPr>
      </w:pPr>
      <w:r>
        <w:rPr>
          <w:b/>
          <w:bCs/>
        </w:rPr>
        <w:t>Mechanism.</w:t>
      </w:r>
      <w:r>
        <w:t xml:space="preserve"> Name which of Streeck-Thelen’s five mechanisms best describes Vesla’s arrival in Lindmark — both the campus and the Valexo licensing deal — and which one you would </w:t>
      </w:r>
      <w:r>
        <w:rPr>
          <w:i/>
          <w:iCs/>
        </w:rPr>
        <w:t>rather</w:t>
      </w:r>
      <w:r>
        <w:t xml:space="preserve"> it be characterised as, strategically, when you’re the one talking to the LDGA. Defend the choice with evidence, and be honest about where the two answers diverge.</w:t>
      </w:r>
    </w:p>
    <w:p w14:paraId="2618233A" w14:textId="77777777" w:rsidR="00180562" w:rsidRDefault="00000000">
      <w:pPr>
        <w:numPr>
          <w:ilvl w:val="0"/>
          <w:numId w:val="15"/>
        </w:numPr>
      </w:pPr>
      <w:r>
        <w:rPr>
          <w:b/>
          <w:bCs/>
        </w:rPr>
        <w:t>Goal.</w:t>
      </w:r>
      <w:r>
        <w:t xml:space="preserve"> State precisely what a good outcome looks like for Vesla’s campus permitting, the Valexo licence’s compliance treatment, and the public narrative around both, over the next 12 months.</w:t>
      </w:r>
    </w:p>
    <w:p w14:paraId="070C1C13" w14:textId="77777777" w:rsidR="00180562" w:rsidRDefault="00000000">
      <w:pPr>
        <w:numPr>
          <w:ilvl w:val="0"/>
          <w:numId w:val="15"/>
        </w:numPr>
      </w:pPr>
      <w:r>
        <w:rPr>
          <w:b/>
          <w:bCs/>
        </w:rPr>
        <w:t>Strategy.</w:t>
      </w:r>
      <w:r>
        <w:t xml:space="preserve"> Decide how to argue Vesla OS’s classification under the AI Act’s risk tiers — contest the high-risk framing where you can, or accept it and compete on enforcement stringency instead. Apply Acemoglu-Restrepo honestly: your product is a live instance of the framework’s displacement mechanism, whatever the campus’s job-creation narrative claims; decide how much of that you volunteer </w:t>
      </w:r>
      <w:r>
        <w:lastRenderedPageBreak/>
        <w:t>versus wait to be asked. Use Meckling’s coalition logic to decide whether you want to be visibly positioned as the government’s “carrot” that makes tougher national AI-enforcement rules politically survivable — and what that costs you if the Valexo displacement numbers become a public fight.</w:t>
      </w:r>
    </w:p>
    <w:p w14:paraId="769DBA9F" w14:textId="77777777" w:rsidR="00180562" w:rsidRDefault="00000000">
      <w:pPr>
        <w:numPr>
          <w:ilvl w:val="0"/>
          <w:numId w:val="15"/>
        </w:numPr>
      </w:pPr>
      <w:r>
        <w:rPr>
          <w:b/>
          <w:bCs/>
        </w:rPr>
        <w:t>How.</w:t>
      </w:r>
      <w:r>
        <w:t xml:space="preserve"> A brief stakeholder map (power/interest grid) to support your plan, plus concrete tactics: which stakeholders you approach first and why, how you keep the campus narrative (job creation) separate from the Valexo narrative (displacement) in public messaging even though your own platform runs both, and what you say if a journalist or an LAF spokesperson puts the 23,000-jobs-at-risk figure next to your 9,000-jobs-created figure in the same sentence.</w:t>
      </w:r>
    </w:p>
    <w:p w14:paraId="1C0D6F08" w14:textId="77777777" w:rsidR="00180562" w:rsidRDefault="00000000">
      <w:r>
        <w:t>Note: this exercise is deliberately under-determined. You will be assessed on the strength of the reasoning chain (named mechanism → goal → strategy tied to specific frameworks → concrete tactics), not on whether your side “wins” the plenary hearing.</w:t>
      </w:r>
    </w:p>
    <w:p w14:paraId="4A6956C1" w14:textId="77777777" w:rsidR="00180562" w:rsidRDefault="00000000">
      <w:pPr>
        <w:pStyle w:val="Heading3"/>
      </w:pPr>
      <w:bookmarkStart w:id="23" w:name="background-the-eu-ai-acts-risk-tiers-2"/>
      <w:bookmarkEnd w:id="22"/>
      <w:r>
        <w:t>Background — the EU AI Act’s risk tiers</w:t>
      </w:r>
    </w:p>
    <w:p w14:paraId="46320394" w14:textId="77777777" w:rsidR="00180562" w:rsidRDefault="00000000">
      <w:r>
        <w:t>This is real, binding EU law, not part of the fictional scenario. Use it as raw material for your own argument — how it applies to Vesla OS specifically is contestable, and different teams may argue for different readings.</w:t>
      </w:r>
    </w:p>
    <w:tbl>
      <w:tblPr>
        <w:tblW w:w="5000" w:type="pct"/>
        <w:tblLayout w:type="fixed"/>
        <w:tblLook w:val="0020" w:firstRow="1" w:lastRow="0" w:firstColumn="0" w:lastColumn="0" w:noHBand="0" w:noVBand="0"/>
      </w:tblPr>
      <w:tblGrid>
        <w:gridCol w:w="4428"/>
        <w:gridCol w:w="4428"/>
      </w:tblGrid>
      <w:tr w:rsidR="00180562" w14:paraId="69DC5E5A" w14:textId="77777777">
        <w:trPr>
          <w:tblHeader/>
        </w:trPr>
        <w:tc>
          <w:tcPr>
            <w:tcW w:w="3960" w:type="dxa"/>
          </w:tcPr>
          <w:p w14:paraId="07C019F6" w14:textId="77777777" w:rsidR="00180562" w:rsidRDefault="00000000">
            <w:r>
              <w:t>Tier</w:t>
            </w:r>
          </w:p>
        </w:tc>
        <w:tc>
          <w:tcPr>
            <w:tcW w:w="3960" w:type="dxa"/>
          </w:tcPr>
          <w:p w14:paraId="6FB0B9FF" w14:textId="77777777" w:rsidR="00180562" w:rsidRDefault="00000000">
            <w:r>
              <w:t>What it means</w:t>
            </w:r>
          </w:p>
        </w:tc>
      </w:tr>
      <w:tr w:rsidR="00180562" w14:paraId="2E8E5432" w14:textId="77777777">
        <w:tc>
          <w:tcPr>
            <w:tcW w:w="3960" w:type="dxa"/>
          </w:tcPr>
          <w:p w14:paraId="461C8021" w14:textId="77777777" w:rsidR="00180562" w:rsidRDefault="00000000">
            <w:r>
              <w:t>Unacceptable risk</w:t>
            </w:r>
          </w:p>
        </w:tc>
        <w:tc>
          <w:tcPr>
            <w:tcW w:w="3960" w:type="dxa"/>
          </w:tcPr>
          <w:p w14:paraId="4E6C5F3C" w14:textId="77777777" w:rsidR="00180562" w:rsidRDefault="00000000">
            <w:r>
              <w:t>Prohibited outright</w:t>
            </w:r>
          </w:p>
        </w:tc>
      </w:tr>
      <w:tr w:rsidR="00180562" w14:paraId="327A6759" w14:textId="77777777">
        <w:tc>
          <w:tcPr>
            <w:tcW w:w="3960" w:type="dxa"/>
          </w:tcPr>
          <w:p w14:paraId="2540BC03" w14:textId="77777777" w:rsidR="00180562" w:rsidRDefault="00000000">
            <w:r>
              <w:t>High risk</w:t>
            </w:r>
          </w:p>
        </w:tc>
        <w:tc>
          <w:tcPr>
            <w:tcW w:w="3960" w:type="dxa"/>
          </w:tcPr>
          <w:p w14:paraId="3F797B42" w14:textId="77777777" w:rsidR="00180562" w:rsidRDefault="00000000">
            <w:r>
              <w:t>Annex III — includes AI systems used for recruitment, task allocation, monitoring or evaluating worker performance and behaviour, or decisions on promotion or termination</w:t>
            </w:r>
          </w:p>
        </w:tc>
      </w:tr>
      <w:tr w:rsidR="00180562" w14:paraId="0314C4E2" w14:textId="77777777">
        <w:tc>
          <w:tcPr>
            <w:tcW w:w="3960" w:type="dxa"/>
          </w:tcPr>
          <w:p w14:paraId="1CDB890A" w14:textId="77777777" w:rsidR="00180562" w:rsidRDefault="00000000">
            <w:r>
              <w:t>Limited risk</w:t>
            </w:r>
          </w:p>
        </w:tc>
        <w:tc>
          <w:tcPr>
            <w:tcW w:w="3960" w:type="dxa"/>
          </w:tcPr>
          <w:p w14:paraId="2D2517F4" w14:textId="77777777" w:rsidR="00180562" w:rsidRDefault="00000000">
            <w:r>
              <w:t>Transparency obligations only</w:t>
            </w:r>
          </w:p>
        </w:tc>
      </w:tr>
      <w:tr w:rsidR="00180562" w14:paraId="0DDBC463" w14:textId="77777777">
        <w:tc>
          <w:tcPr>
            <w:tcW w:w="3960" w:type="dxa"/>
          </w:tcPr>
          <w:p w14:paraId="4ED1D264" w14:textId="77777777" w:rsidR="00180562" w:rsidRDefault="00000000">
            <w:r>
              <w:t>Minimal risk</w:t>
            </w:r>
          </w:p>
        </w:tc>
        <w:tc>
          <w:tcPr>
            <w:tcW w:w="3960" w:type="dxa"/>
          </w:tcPr>
          <w:p w14:paraId="62811A53" w14:textId="77777777" w:rsidR="00180562" w:rsidRDefault="00000000">
            <w:r>
              <w:t>No specific obligations</w:t>
            </w:r>
          </w:p>
        </w:tc>
      </w:tr>
    </w:tbl>
    <w:p w14:paraId="4309C276" w14:textId="77777777" w:rsidR="00180562" w:rsidRDefault="00000000">
      <w:pPr>
        <w:pStyle w:val="BodyText"/>
      </w:pPr>
      <w:r>
        <w:t>Vesla OS combines four functions: (1) a real-time task-allocation algorithm; (2) wearable biometric sensors tracking fatigue and attention; (3) continuous performance scoring; (4) a predictive termination-risk index surfaced to line managers. Where each function lands on the tiers above, and what follows from that, is not settled — that ambiguity is negotiating room, and it’s yours to use.</w:t>
      </w:r>
    </w:p>
    <w:p w14:paraId="6876010E" w14:textId="77777777" w:rsidR="00180562" w:rsidRDefault="00000000">
      <w:pPr>
        <w:pStyle w:val="Heading3"/>
      </w:pPr>
      <w:bookmarkStart w:id="24" w:name="tool-summary-2"/>
      <w:bookmarkEnd w:id="23"/>
      <w:r>
        <w:t>Tool summary</w:t>
      </w:r>
    </w:p>
    <w:p w14:paraId="12136E46" w14:textId="77777777" w:rsidR="00180562" w:rsidRDefault="00000000">
      <w:r>
        <w:rPr>
          <w:b/>
          <w:bCs/>
        </w:rPr>
        <w:t>Streeck and Thelen’s institutional-change mechanisms (your primary tool).</w:t>
      </w:r>
      <w:r>
        <w:t xml:space="preserve"> Drift (rule unchanged, environment changes); conversion (rule redirected to new purposes); layering (new rule added without repealing the old); displacement (old rule actively replaced); exhaustion (institution withers). Is Vesla OS’s arrival at Valexo a </w:t>
      </w:r>
      <w:r>
        <w:rPr>
          <w:i/>
          <w:iCs/>
        </w:rPr>
        <w:t>displacement</w:t>
      </w:r>
      <w:r>
        <w:t xml:space="preserve"> of the plants’ </w:t>
      </w:r>
      <w:r>
        <w:lastRenderedPageBreak/>
        <w:t xml:space="preserve">existing management practices, or </w:t>
      </w:r>
      <w:r>
        <w:rPr>
          <w:i/>
          <w:iCs/>
        </w:rPr>
        <w:t>layering</w:t>
      </w:r>
      <w:r>
        <w:t xml:space="preserve"> — a new system added alongside existing supervisory structures, formally leaving them intact? The answer changes what you can credibly promise both the LDGA and LAF about how much actually changes for workers.</w:t>
      </w:r>
    </w:p>
    <w:p w14:paraId="0E7A3465" w14:textId="77777777" w:rsidR="00180562" w:rsidRDefault="00000000">
      <w:pPr>
        <w:pStyle w:val="BodyText"/>
      </w:pPr>
      <w:r>
        <w:rPr>
          <w:b/>
          <w:bCs/>
        </w:rPr>
        <w:t>Acemoglu and Restrepo’s displacement-reinstatement framework.</w:t>
      </w:r>
      <w:r>
        <w:t xml:space="preserve"> Your product substitutes for workers in specific routine-manual and routine-cognitive tasks (displacement); your campus creates different jobs requiring different skills (a form of reinstatement, but not automatically for the same workers who were displaced). Decide how much of that distinction you state plainly versus leave for the other two sides to raise.</w:t>
      </w:r>
    </w:p>
    <w:p w14:paraId="0138CCAE" w14:textId="77777777" w:rsidR="00180562" w:rsidRDefault="00000000">
      <w:pPr>
        <w:pStyle w:val="BodyText"/>
      </w:pPr>
      <w:r>
        <w:rPr>
          <w:b/>
          <w:bCs/>
        </w:rPr>
        <w:t>Stakeholder mapping (practitioner tool).</w:t>
      </w:r>
      <w:r>
        <w:t xml:space="preserve"> Power/interest grid: manage closely (high power, high interest); keep satisfied (high power, low interest); keep informed (low power, high interest); monitor (low power, low interest). Tells you where to spend scarce political capital and compliance-relationship effort — a supporting section of your plan, not its headline.</w:t>
      </w:r>
    </w:p>
    <w:p w14:paraId="7B10D559" w14:textId="77777777" w:rsidR="00180562" w:rsidRDefault="00000000">
      <w:pPr>
        <w:pStyle w:val="BodyText"/>
      </w:pPr>
      <w:r>
        <w:rPr>
          <w:b/>
          <w:bCs/>
        </w:rPr>
        <w:t>Meckling and colleagues’ green/digital-industrial-policy coalition logic (secondary).</w:t>
      </w:r>
      <w:r>
        <w:t xml:space="preserve"> Large-scale industrial investment builds the political coalition that later makes harder regulatory measures sustainable. Your campus is exactly this kind of asset, whether or not you choose to frame it that way — and the LDGA may want to spend it on political capital you didn’t intend to provide.</w:t>
      </w:r>
    </w:p>
    <w:p w14:paraId="4FD5A2A1" w14:textId="77777777" w:rsidR="00180562" w:rsidRDefault="00000000">
      <w:pPr>
        <w:pStyle w:val="Heading3"/>
      </w:pPr>
      <w:bookmarkStart w:id="25" w:name="case-specifics-from-the-role-brief-2"/>
      <w:bookmarkEnd w:id="24"/>
      <w:r>
        <w:t>Case specifics (from the role brief)</w:t>
      </w:r>
    </w:p>
    <w:p w14:paraId="51CCE410" w14:textId="77777777" w:rsidR="00180562" w:rsidRDefault="00000000">
      <w:r>
        <w:t>Vesla OS combines a real-time task-allocation algorithm, wearable biometric sensors tracking fatigue and attention, continuous performance scoring, and a predictive termination-risk index surfaced to line managers. Your new campus (€2.4bn, in Lindmark) is projected to employ roughly 9,000 people at full capacity by 2032 — about a third of those positions earmarked for a retraining pipeline open to displaced Valexo workers, the rest requiring robotics-engineering or AI-oversight qualifications. Separately, your licensing deal with Valexo puts Vesla OS in charge of newly robotic assembly lines across two of Valexo’s three plants (38,000 workers combined); a Labour Ministry-commissioned study estimates up to 23,000 of those roles are at high displacement risk within five years.</w:t>
      </w:r>
    </w:p>
    <w:p w14:paraId="3C561108" w14:textId="77777777" w:rsidR="00180562" w:rsidRDefault="00000000">
      <w:pPr>
        <w:pStyle w:val="BodyText"/>
      </w:pPr>
      <w:r>
        <w:rPr>
          <w:b/>
          <w:bCs/>
        </w:rPr>
        <w:t>Stakeholder landscape to map:</w:t>
      </w:r>
      <w:r>
        <w:t xml:space="preserve"> the LDGA (your compliance counterparty, finalising the national implementing decree before 2 August 2026); the Ministry of Economic Affairs and the Prime Minister’s Office (your most enthusiastic institutional champions, publicly invested in the campus jobs figure); Valexo’s management (your licensing counterparty, not your employee base, and not always aligned with you on public messaging); LAF and Lindmark’s wider labour movement (not a direct compliance counterparty, but a political actor whose goodwill or hostility shapes whether “AI creates good jobs” or “AI destroys good jobs” becomes the dominant public narrative); the EU AI Office (sets the floor you’re already meeting; not your day-to-day counterparty); the not-yet-elected Valexo works council (a future actor with potential formal standing over your system once elected).</w:t>
      </w:r>
    </w:p>
    <w:p w14:paraId="4CD823DE" w14:textId="77777777" w:rsidR="00180562" w:rsidRDefault="00000000">
      <w:pPr>
        <w:pStyle w:val="BodyText"/>
      </w:pPr>
      <w:r>
        <w:rPr>
          <w:b/>
          <w:bCs/>
        </w:rPr>
        <w:t>Intelligence on the other two sides:</w:t>
      </w:r>
      <w:r>
        <w:t xml:space="preserve"> LAF is watching closely for any sign that your campus jobs are being used to substitute for Valexo-specific protections — a substitution they will </w:t>
      </w:r>
      <w:r>
        <w:lastRenderedPageBreak/>
        <w:t>publicly reject and will not thank you for enabling, even inadvertently. The LDGA would like your investment to function as evidence that AI regulation and AI investment aren’t zero-sum, but cannot let that framing look like it lets Valexo’s displacement numbers go unaddressed.</w:t>
      </w:r>
    </w:p>
    <w:p w14:paraId="1AE4CBD3" w14:textId="77777777" w:rsidR="00180562" w:rsidRDefault="00000000">
      <w:pPr>
        <w:pStyle w:val="Heading3"/>
      </w:pPr>
      <w:bookmarkStart w:id="26" w:name="discussion-questions-for-your-plan-2"/>
      <w:bookmarkEnd w:id="25"/>
      <w:r>
        <w:t>Discussion questions for your plan</w:t>
      </w:r>
    </w:p>
    <w:p w14:paraId="566C1EC4" w14:textId="77777777" w:rsidR="00180562" w:rsidRDefault="00000000">
      <w:pPr>
        <w:numPr>
          <w:ilvl w:val="0"/>
          <w:numId w:val="16"/>
        </w:numPr>
      </w:pPr>
      <w:r>
        <w:t>Is it in your interest to be publicly associated with a lighter national enforcement regime, or does that association carry more risk than benefit if the Valexo numbers become public?</w:t>
      </w:r>
    </w:p>
    <w:p w14:paraId="0CE51920" w14:textId="77777777" w:rsidR="00180562" w:rsidRDefault="00000000">
      <w:pPr>
        <w:numPr>
          <w:ilvl w:val="0"/>
          <w:numId w:val="16"/>
        </w:numPr>
      </w:pPr>
      <w:r>
        <w:t>What, specifically, do you owe Lindmark versus what its political actors might want to claim you owe it?</w:t>
      </w:r>
    </w:p>
    <w:p w14:paraId="4C01A4E2" w14:textId="77777777" w:rsidR="00180562" w:rsidRDefault="00000000">
      <w:pPr>
        <w:numPr>
          <w:ilvl w:val="0"/>
          <w:numId w:val="16"/>
        </w:numPr>
      </w:pPr>
      <w:r>
        <w:t>How do you answer if a journalist puts the 23,000-at-risk figure next to your 9,000-created figure in the same question?</w:t>
      </w:r>
    </w:p>
    <w:p w14:paraId="761F5E25" w14:textId="77777777" w:rsidR="00180562" w:rsidRDefault="00000000">
      <w:pPr>
        <w:numPr>
          <w:ilvl w:val="0"/>
          <w:numId w:val="16"/>
        </w:numPr>
      </w:pPr>
      <w:r>
        <w:t>What is your actual position on the Valexo works-council election and any future role it might claim over Vesla OS’s parameters, and how do you defend it if pressed in the hearing?</w:t>
      </w:r>
    </w:p>
    <w:p w14:paraId="2C6BAECC" w14:textId="77777777" w:rsidR="00180562" w:rsidRDefault="00000000">
      <w:pPr>
        <w:numPr>
          <w:ilvl w:val="0"/>
          <w:numId w:val="16"/>
        </w:numPr>
      </w:pPr>
      <w:r>
        <w:t xml:space="preserve">If the LDGA tries to call your arrival a </w:t>
      </w:r>
      <w:r>
        <w:rPr>
          <w:i/>
          <w:iCs/>
        </w:rPr>
        <w:t>displacement</w:t>
      </w:r>
      <w:r>
        <w:t xml:space="preserve"> of Valexo’s existing management practices in its public messaging, and you think it’s really closer to </w:t>
      </w:r>
      <w:r>
        <w:rPr>
          <w:i/>
          <w:iCs/>
        </w:rPr>
        <w:t>layering</w:t>
      </w:r>
      <w:r>
        <w:t>, does that gap matter to your negotiating position — and why?</w:t>
      </w:r>
    </w:p>
    <w:p w14:paraId="3A1D9D9A" w14:textId="77777777" w:rsidR="00180562" w:rsidRDefault="00000000">
      <w:r>
        <w:br w:type="page"/>
      </w:r>
      <w:bookmarkEnd w:id="18"/>
      <w:bookmarkEnd w:id="19"/>
      <w:bookmarkEnd w:id="26"/>
    </w:p>
    <w:sectPr w:rsidR="00180562"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70BB79" w14:textId="77777777" w:rsidR="001A2B49" w:rsidRDefault="001A2B49">
      <w:pPr>
        <w:spacing w:after="0" w:line="240" w:lineRule="auto"/>
      </w:pPr>
      <w:r>
        <w:separator/>
      </w:r>
    </w:p>
  </w:endnote>
  <w:endnote w:type="continuationSeparator" w:id="0">
    <w:p w14:paraId="689D0FAE" w14:textId="77777777" w:rsidR="001A2B49" w:rsidRDefault="001A2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E68FB2" w14:textId="77777777" w:rsidR="001A2B49" w:rsidRDefault="001A2B49">
      <w:r>
        <w:separator/>
      </w:r>
    </w:p>
  </w:footnote>
  <w:footnote w:type="continuationSeparator" w:id="0">
    <w:p w14:paraId="7D3521CC" w14:textId="77777777" w:rsidR="001A2B49" w:rsidRDefault="001A2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E0FCD68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0" w15:restartNumberingAfterBreak="0">
    <w:nsid w:val="0000A991"/>
    <w:multiLevelType w:val="multilevel"/>
    <w:tmpl w:val="6480FC2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1" w15:restartNumberingAfterBreak="0">
    <w:nsid w:val="00A99411"/>
    <w:multiLevelType w:val="multilevel"/>
    <w:tmpl w:val="F1DC140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1973555985">
    <w:abstractNumId w:val="8"/>
  </w:num>
  <w:num w:numId="2" w16cid:durableId="1366563869">
    <w:abstractNumId w:val="6"/>
  </w:num>
  <w:num w:numId="3" w16cid:durableId="1202668815">
    <w:abstractNumId w:val="5"/>
  </w:num>
  <w:num w:numId="4" w16cid:durableId="892079298">
    <w:abstractNumId w:val="4"/>
  </w:num>
  <w:num w:numId="5" w16cid:durableId="1506898117">
    <w:abstractNumId w:val="7"/>
  </w:num>
  <w:num w:numId="6" w16cid:durableId="2120489874">
    <w:abstractNumId w:val="3"/>
  </w:num>
  <w:num w:numId="7" w16cid:durableId="1656684556">
    <w:abstractNumId w:val="2"/>
  </w:num>
  <w:num w:numId="8" w16cid:durableId="505946227">
    <w:abstractNumId w:val="1"/>
  </w:num>
  <w:num w:numId="9" w16cid:durableId="617180631">
    <w:abstractNumId w:val="0"/>
  </w:num>
  <w:num w:numId="10" w16cid:durableId="1834756946">
    <w:abstractNumId w:val="9"/>
  </w:num>
  <w:num w:numId="11" w16cid:durableId="6694113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5715965">
    <w:abstractNumId w:val="10"/>
  </w:num>
  <w:num w:numId="13" w16cid:durableId="383602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7747302">
    <w:abstractNumId w:val="10"/>
  </w:num>
  <w:num w:numId="15" w16cid:durableId="9172475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6209820">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0562"/>
    <w:rsid w:val="001A2B49"/>
    <w:rsid w:val="0025775B"/>
    <w:rsid w:val="0029639D"/>
    <w:rsid w:val="00326F90"/>
    <w:rsid w:val="005D1614"/>
    <w:rsid w:val="00866F4D"/>
    <w:rsid w:val="009A61EB"/>
    <w:rsid w:val="00AA1D8D"/>
    <w:rsid w:val="00B47730"/>
    <w:rsid w:val="00CB0664"/>
    <w:rsid w:val="00D416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2D5F3B"/>
  <w15:docId w15:val="{E86B5D3E-5127-6F45-AEE9-449A4C00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KeywordTok0">
    <w:name w:val="KeywordTok"/>
    <w:rPr>
      <w:b/>
      <w:color w:val="007020"/>
    </w:rPr>
  </w:style>
  <w:style w:type="character" w:customStyle="1" w:styleId="DataTypeTok0">
    <w:name w:val="DataTypeTok"/>
    <w:rPr>
      <w:color w:val="902000"/>
    </w:rPr>
  </w:style>
  <w:style w:type="character" w:customStyle="1" w:styleId="DecValTok0">
    <w:name w:val="DecValTok"/>
    <w:rPr>
      <w:color w:val="40A070"/>
    </w:rPr>
  </w:style>
  <w:style w:type="character" w:customStyle="1" w:styleId="BaseNTok0">
    <w:name w:val="BaseNTok"/>
    <w:rPr>
      <w:color w:val="40A070"/>
    </w:rPr>
  </w:style>
  <w:style w:type="character" w:customStyle="1" w:styleId="FloatTok0">
    <w:name w:val="FloatTok"/>
    <w:rPr>
      <w:color w:val="40A070"/>
    </w:rPr>
  </w:style>
  <w:style w:type="character" w:customStyle="1" w:styleId="ConstantTok0">
    <w:name w:val="ConstantTok"/>
    <w:rPr>
      <w:color w:val="880000"/>
    </w:rPr>
  </w:style>
  <w:style w:type="character" w:customStyle="1" w:styleId="CharTok0">
    <w:name w:val="CharTok"/>
    <w:rPr>
      <w:color w:val="4070A0"/>
    </w:rPr>
  </w:style>
  <w:style w:type="character" w:customStyle="1" w:styleId="SpecialCharTok0">
    <w:name w:val="SpecialCharTok"/>
    <w:rPr>
      <w:color w:val="4070A0"/>
    </w:rPr>
  </w:style>
  <w:style w:type="character" w:customStyle="1" w:styleId="StringTok0">
    <w:name w:val="StringTok"/>
    <w:rPr>
      <w:color w:val="4070A0"/>
    </w:rPr>
  </w:style>
  <w:style w:type="character" w:customStyle="1" w:styleId="VerbatimStringTok0">
    <w:name w:val="VerbatimStringTok"/>
    <w:rPr>
      <w:color w:val="4070A0"/>
    </w:rPr>
  </w:style>
  <w:style w:type="character" w:customStyle="1" w:styleId="SpecialStringTok0">
    <w:name w:val="SpecialStringTok"/>
    <w:rPr>
      <w:color w:val="BB6688"/>
    </w:rPr>
  </w:style>
  <w:style w:type="character" w:customStyle="1" w:styleId="ImportTok0">
    <w:name w:val="ImportTok"/>
    <w:rPr>
      <w:b/>
      <w:color w:val="008000"/>
    </w:rPr>
  </w:style>
  <w:style w:type="character" w:customStyle="1" w:styleId="CommentTok0">
    <w:name w:val="CommentTok"/>
    <w:rPr>
      <w:i/>
      <w:color w:val="60A0B0"/>
    </w:rPr>
  </w:style>
  <w:style w:type="character" w:customStyle="1" w:styleId="DocumentationTok0">
    <w:name w:val="DocumentationTok"/>
    <w:rPr>
      <w:i/>
      <w:color w:val="BA2121"/>
    </w:rPr>
  </w:style>
  <w:style w:type="character" w:customStyle="1" w:styleId="AnnotationTok0">
    <w:name w:val="AnnotationTok"/>
    <w:rPr>
      <w:b/>
      <w:i/>
      <w:color w:val="60A0B0"/>
    </w:rPr>
  </w:style>
  <w:style w:type="character" w:customStyle="1" w:styleId="CommentVarTok0">
    <w:name w:val="CommentVarTok"/>
    <w:rPr>
      <w:b/>
      <w:i/>
      <w:color w:val="60A0B0"/>
    </w:rPr>
  </w:style>
  <w:style w:type="character" w:customStyle="1" w:styleId="OtherTok0">
    <w:name w:val="OtherTok"/>
    <w:rPr>
      <w:color w:val="007020"/>
    </w:rPr>
  </w:style>
  <w:style w:type="character" w:customStyle="1" w:styleId="FunctionTok0">
    <w:name w:val="FunctionTok"/>
    <w:rPr>
      <w:color w:val="06287E"/>
    </w:rPr>
  </w:style>
  <w:style w:type="character" w:customStyle="1" w:styleId="VariableTok0">
    <w:name w:val="VariableTok"/>
    <w:rPr>
      <w:color w:val="19177C"/>
    </w:rPr>
  </w:style>
  <w:style w:type="character" w:customStyle="1" w:styleId="ControlFlowTok0">
    <w:name w:val="ControlFlowTok"/>
    <w:rPr>
      <w:b/>
      <w:color w:val="007020"/>
    </w:rPr>
  </w:style>
  <w:style w:type="character" w:customStyle="1" w:styleId="OperatorTok0">
    <w:name w:val="OperatorTok"/>
    <w:rPr>
      <w:color w:val="666666"/>
    </w:rPr>
  </w:style>
  <w:style w:type="character" w:customStyle="1" w:styleId="BuiltInTok0">
    <w:name w:val="BuiltInTok"/>
    <w:rPr>
      <w:color w:val="008000"/>
    </w:rPr>
  </w:style>
  <w:style w:type="character" w:customStyle="1" w:styleId="ExtensionTok0">
    <w:name w:val="ExtensionTok"/>
  </w:style>
  <w:style w:type="character" w:customStyle="1" w:styleId="PreprocessorTok0">
    <w:name w:val="PreprocessorTok"/>
    <w:rPr>
      <w:color w:val="BC7A00"/>
    </w:rPr>
  </w:style>
  <w:style w:type="character" w:customStyle="1" w:styleId="AttributeTok0">
    <w:name w:val="AttributeTok"/>
    <w:rPr>
      <w:color w:val="7D9029"/>
    </w:rPr>
  </w:style>
  <w:style w:type="character" w:customStyle="1" w:styleId="RegionMarkerTok0">
    <w:name w:val="RegionMarkerTok"/>
  </w:style>
  <w:style w:type="character" w:customStyle="1" w:styleId="InformationTok0">
    <w:name w:val="InformationTok"/>
    <w:rPr>
      <w:b/>
      <w:i/>
      <w:color w:val="60A0B0"/>
    </w:rPr>
  </w:style>
  <w:style w:type="character" w:customStyle="1" w:styleId="WarningTok0">
    <w:name w:val="WarningTok"/>
    <w:rPr>
      <w:b/>
      <w:i/>
      <w:color w:val="60A0B0"/>
    </w:rPr>
  </w:style>
  <w:style w:type="character" w:customStyle="1" w:styleId="AlertTok0">
    <w:name w:val="AlertTok"/>
    <w:rPr>
      <w:b/>
      <w:color w:val="FF0000"/>
    </w:rPr>
  </w:style>
  <w:style w:type="character" w:customStyle="1" w:styleId="ErrorTok0">
    <w:name w:val="ErrorTok"/>
    <w:rPr>
      <w:b/>
      <w:color w:val="FF0000"/>
    </w:rPr>
  </w:style>
  <w:style w:type="character" w:customStyle="1" w:styleId="NormalTok0">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4304</Words>
  <Characters>24535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Pro,E (pgr)</cp:lastModifiedBy>
  <cp:revision>2</cp:revision>
  <dcterms:created xsi:type="dcterms:W3CDTF">2026-07-28T10:07:00Z</dcterms:created>
  <dcterms:modified xsi:type="dcterms:W3CDTF">2026-07-28T10:37:00Z</dcterms:modified>
</cp:coreProperties>
</file>