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CFBFED" w14:textId="77777777" w:rsidR="006D079F" w:rsidRDefault="00000000">
      <w:pPr>
        <w:pStyle w:val="Heading1"/>
      </w:pPr>
      <w:bookmarkStart w:id="0" w:name="Xb7c47f9906cfe68cd041b14758ff2f3f01da05f"/>
      <w:r>
        <w:t>Demographic and Migration Governance Cases — Worksheet</w:t>
      </w:r>
    </w:p>
    <w:p w14:paraId="1702AA9C" w14:textId="77777777" w:rsidR="006D079F" w:rsidRDefault="00000000">
      <w:pPr>
        <w:pStyle w:val="Heading2"/>
      </w:pPr>
      <w:bookmarkStart w:id="1" w:name="X15b871127689e991607d193f9feea4793140008"/>
      <w:r>
        <w:t>Japan demographic-and-employment governance — Demographic governance under aging pair</w:t>
      </w:r>
    </w:p>
    <w:p w14:paraId="5C57EF66" w14:textId="77777777" w:rsidR="006D079F" w:rsidRDefault="00000000">
      <w:r>
        <w:rPr>
          <w:i/>
          <w:iCs/>
        </w:rPr>
        <w:t>IR227 Seminar 10 — Group worksheet</w:t>
      </w:r>
    </w:p>
    <w:p w14:paraId="3487F5E5" w14:textId="77777777" w:rsidR="006D079F" w:rsidRDefault="00000000">
      <w:pPr>
        <w:pStyle w:val="Heading3"/>
      </w:pPr>
      <w:bookmarkStart w:id="2" w:name="task"/>
      <w:r>
        <w:t>Task</w:t>
      </w:r>
    </w:p>
    <w:p w14:paraId="5EF123DD" w14:textId="77777777" w:rsidR="006D079F" w:rsidRDefault="00000000">
      <w:r>
        <w:t>Take your assigned demographic-or-migration governance case. Apply the relevant frameworks. Identify coalitions. Reach a verdict on governance trajectory. Then close with a brief cross-transition reflection: what does this case imply for climate (Lecture 9) or AI (Lecture 11)?</w:t>
      </w:r>
    </w:p>
    <w:p w14:paraId="63F9AEAC" w14:textId="77777777" w:rsidR="006D079F" w:rsidRDefault="00000000">
      <w:pPr>
        <w:pStyle w:val="BodyText"/>
      </w:pPr>
      <w:r>
        <w:t>The analytical tools you will deploy are: Pierson’s policy-feedback framework (Lecture 3), Hollifield’s migration state, and Freeman’s typology.</w:t>
      </w:r>
    </w:p>
    <w:p w14:paraId="7CAEF112" w14:textId="77777777" w:rsidR="006D079F" w:rsidRDefault="00000000">
      <w:pPr>
        <w:pStyle w:val="Heading3"/>
      </w:pPr>
      <w:bookmarkStart w:id="3" w:name="requirements"/>
      <w:bookmarkEnd w:id="2"/>
      <w:r>
        <w:t>Requirements</w:t>
      </w:r>
    </w:p>
    <w:p w14:paraId="5E6331A7" w14:textId="77777777" w:rsidR="006D079F" w:rsidRDefault="00000000">
      <w:pPr>
        <w:numPr>
          <w:ilvl w:val="0"/>
          <w:numId w:val="11"/>
        </w:numPr>
      </w:pPr>
      <w:r>
        <w:t>identify which frameworks apply to your case, with evidence,</w:t>
      </w:r>
    </w:p>
    <w:p w14:paraId="1E74C616" w14:textId="77777777" w:rsidR="006D079F" w:rsidRDefault="00000000">
      <w:pPr>
        <w:numPr>
          <w:ilvl w:val="0"/>
          <w:numId w:val="11"/>
        </w:numPr>
      </w:pPr>
      <w:r>
        <w:t>apply each: what does it predict for the case, and where does the prediction match the evidence,</w:t>
      </w:r>
    </w:p>
    <w:p w14:paraId="00DFFB7C" w14:textId="77777777" w:rsidR="006D079F" w:rsidRDefault="00000000">
      <w:pPr>
        <w:numPr>
          <w:ilvl w:val="0"/>
          <w:numId w:val="11"/>
        </w:numPr>
      </w:pPr>
      <w:r>
        <w:t>identify coalitions, specifying actors and interests,</w:t>
      </w:r>
    </w:p>
    <w:p w14:paraId="2BBF6E15" w14:textId="77777777" w:rsidR="006D079F" w:rsidRDefault="00000000">
      <w:pPr>
        <w:numPr>
          <w:ilvl w:val="0"/>
          <w:numId w:val="11"/>
        </w:numPr>
      </w:pPr>
      <w:r>
        <w:t>reach a governance-trajectory verdict, and</w:t>
      </w:r>
    </w:p>
    <w:p w14:paraId="69EEF1A5" w14:textId="77777777" w:rsidR="006D079F" w:rsidRDefault="00000000">
      <w:pPr>
        <w:numPr>
          <w:ilvl w:val="0"/>
          <w:numId w:val="11"/>
        </w:numPr>
      </w:pPr>
      <w:r>
        <w:t>close with a specific cross-transition reflection: what does your case imply for climate (Lecture 9) or AI (Lecture 11)?</w:t>
      </w:r>
    </w:p>
    <w:p w14:paraId="0EB9405E" w14:textId="77777777" w:rsidR="006D079F" w:rsidRDefault="00000000">
      <w:r>
        <w:t>Note: these cases are deliberately under-determined. There is no single correct verdict — you will be assessed on the strength of the reasoning chain (framework application → coalition analysis → verdict → cross-transition reflection), not on which verdict you reach.</w:t>
      </w:r>
    </w:p>
    <w:p w14:paraId="73E703DA" w14:textId="77777777" w:rsidR="006D079F" w:rsidRDefault="00000000">
      <w:pPr>
        <w:pStyle w:val="Heading3"/>
      </w:pPr>
      <w:bookmarkStart w:id="4" w:name="tool-summary"/>
      <w:bookmarkEnd w:id="3"/>
      <w:r>
        <w:t>Tool summary</w:t>
      </w:r>
    </w:p>
    <w:p w14:paraId="008BBAC2" w14:textId="77777777" w:rsidR="006D079F" w:rsidRDefault="00000000">
      <w:r>
        <w:rPr>
          <w:b/>
          <w:bCs/>
        </w:rPr>
        <w:t>Pierson’s policy-feedback framework (Pierson 1993).</w:t>
      </w:r>
      <w:r>
        <w:t xml:space="preserve"> Ask how existing programmes shape the politics of subsequent reform attempts — feedback can entrench an arrangement or erode it.</w:t>
      </w:r>
    </w:p>
    <w:p w14:paraId="0B8861FF" w14:textId="77777777" w:rsidR="006D079F" w:rsidRDefault="00000000">
      <w:pPr>
        <w:numPr>
          <w:ilvl w:val="0"/>
          <w:numId w:val="12"/>
        </w:numPr>
      </w:pPr>
      <w:r>
        <w:t>Resource/incentive effects and interpretive/cognitive effects, across mass publics, interest groups, and government officials.</w:t>
      </w:r>
    </w:p>
    <w:p w14:paraId="0A242BFD" w14:textId="77777777" w:rsidR="006D079F" w:rsidRDefault="00000000">
      <w:pPr>
        <w:numPr>
          <w:ilvl w:val="0"/>
          <w:numId w:val="12"/>
        </w:numPr>
      </w:pPr>
      <w:r>
        <w:t>Universal programmes tend to build broad constituencies; means-tested programmes tend to build narrower, more exposed ones.</w:t>
      </w:r>
    </w:p>
    <w:p w14:paraId="28B8384E" w14:textId="77777777" w:rsidR="006D079F" w:rsidRDefault="00000000">
      <w:pPr>
        <w:numPr>
          <w:ilvl w:val="0"/>
          <w:numId w:val="12"/>
        </w:numPr>
      </w:pPr>
      <w:r>
        <w:t>Feedback can also work against an arrangement: drift, retrenchment-via-inflation, gradual conversion.</w:t>
      </w:r>
    </w:p>
    <w:p w14:paraId="3E54CAAF" w14:textId="77777777" w:rsidR="006D079F" w:rsidRDefault="00000000">
      <w:r>
        <w:rPr>
          <w:b/>
          <w:bCs/>
        </w:rPr>
        <w:lastRenderedPageBreak/>
        <w:t>Hollifield’s migration state (Hollifield 2004).</w:t>
      </w:r>
      <w:r>
        <w:t xml:space="preserve"> The 20th–21st centuries have seen the emergence of the migration state, in which regulating international migration sits alongside providing security and economic well-being as a core state function. Rights are the key instrument. The liberal paradox — economic openness pulling one way, political pressure pulling the other — is structural to every liberal democracy, not contingent on any one of them.</w:t>
      </w:r>
    </w:p>
    <w:p w14:paraId="55F08290" w14:textId="77777777" w:rsidR="006D079F" w:rsidRDefault="00000000">
      <w:pPr>
        <w:numPr>
          <w:ilvl w:val="0"/>
          <w:numId w:val="13"/>
        </w:numPr>
      </w:pPr>
      <w:r>
        <w:rPr>
          <w:i/>
          <w:iCs/>
        </w:rPr>
        <w:t>How to apply it:</w:t>
      </w:r>
      <w:r>
        <w:t xml:space="preserve"> name (i) the actor(s) or institution(s) generating economic-integration pressure toward openness, (ii) the actor(s) generating security/political pressure toward closure, and (iii) which of the two is currently binding in your case. “There’s a tension between economy and security” is not itself an answer — the analytical work is in naming the two sides concretely and describing the institutional design that navigates between them.</w:t>
      </w:r>
    </w:p>
    <w:p w14:paraId="06CDAE86" w14:textId="77777777" w:rsidR="006D079F" w:rsidRDefault="00000000">
      <w:pPr>
        <w:numPr>
          <w:ilvl w:val="0"/>
          <w:numId w:val="13"/>
        </w:numPr>
      </w:pPr>
      <w:r>
        <w:rPr>
          <w:i/>
          <w:iCs/>
        </w:rPr>
        <w:t>Scope check:</w:t>
      </w:r>
      <w:r>
        <w:t xml:space="preserve"> Hollifield’s own argument is about rights </w:t>
      </w:r>
      <w:r>
        <w:rPr>
          <w:i/>
          <w:iCs/>
        </w:rPr>
        <w:t>extension</w:t>
      </w:r>
      <w:r>
        <w:t xml:space="preserve"> to migrants, as part of economic integration. If your case instead restricts rights (a deterrence or security design), that reading is an analytical extension beyond Hollifield’s original claim — say so explicitly rather than presenting it as Hollifield’s own finding.</w:t>
      </w:r>
    </w:p>
    <w:p w14:paraId="1BAD06DA" w14:textId="77777777" w:rsidR="006D079F" w:rsidRDefault="00000000">
      <w:r>
        <w:rPr>
          <w:b/>
          <w:bCs/>
        </w:rPr>
        <w:t>Freeman’s typology (Freeman 2006).</w:t>
      </w:r>
      <w:r>
        <w:t xml:space="preserve"> Each type of immigration policy produces a distinctive mode of politics.</w:t>
      </w:r>
    </w:p>
    <w:p w14:paraId="57EC8733" w14:textId="77777777" w:rsidR="006D079F" w:rsidRDefault="00000000">
      <w:pPr>
        <w:numPr>
          <w:ilvl w:val="0"/>
          <w:numId w:val="14"/>
        </w:numPr>
      </w:pPr>
      <w:r>
        <w:t>Concentrated distributive — permanent-residence visas — client politics.</w:t>
      </w:r>
    </w:p>
    <w:p w14:paraId="280B9D99" w14:textId="77777777" w:rsidR="006D079F" w:rsidRDefault="00000000">
      <w:pPr>
        <w:numPr>
          <w:ilvl w:val="0"/>
          <w:numId w:val="14"/>
        </w:numPr>
      </w:pPr>
      <w:r>
        <w:t>Diffuse distributive — non-immigrant visas (tourism, study) — majoritarian politics.</w:t>
      </w:r>
    </w:p>
    <w:p w14:paraId="60A9C9E7" w14:textId="77777777" w:rsidR="006D079F" w:rsidRDefault="00000000">
      <w:pPr>
        <w:numPr>
          <w:ilvl w:val="0"/>
          <w:numId w:val="14"/>
        </w:numPr>
      </w:pPr>
      <w:r>
        <w:t>Redistributive — non-immigrant work visas; welfare for immigrants — interest-group politics.</w:t>
      </w:r>
    </w:p>
    <w:p w14:paraId="6CB37C28" w14:textId="77777777" w:rsidR="006D079F" w:rsidRDefault="00000000">
      <w:pPr>
        <w:numPr>
          <w:ilvl w:val="0"/>
          <w:numId w:val="14"/>
        </w:numPr>
      </w:pPr>
      <w:r>
        <w:t>Regulatory — asylum claims — entrepreneurial politics.</w:t>
      </w:r>
    </w:p>
    <w:p w14:paraId="3CAEF12F" w14:textId="77777777" w:rsidR="006D079F" w:rsidRDefault="00000000">
      <w:pPr>
        <w:pStyle w:val="Heading3"/>
      </w:pPr>
      <w:bookmarkStart w:id="5" w:name="case-specifics-from-the-case-pack"/>
      <w:bookmarkEnd w:id="4"/>
      <w:r>
        <w:t>Case specifics (from the case pack)</w:t>
      </w:r>
    </w:p>
    <w:p w14:paraId="1E676C39" w14:textId="77777777" w:rsidR="006D079F" w:rsidRDefault="00000000">
      <w:r>
        <w:t>Japan is the world’s most-aged society and is often described as the canary in the demographic mineshaft. With 29% of the population over 65 as of 2024, Japan is navigating fiscal pressure on pensions and healthcare, monetary-policy constraints, labour-market shortages, and a gradual immigration-policy expansion despite cultural and political resistance.</w:t>
      </w:r>
    </w:p>
    <w:p w14:paraId="00AF7983" w14:textId="77777777" w:rsidR="006D079F" w:rsidRDefault="00000000">
      <w:pPr>
        <w:pStyle w:val="BodyText"/>
      </w:pPr>
      <w:r>
        <w:rPr>
          <w:b/>
          <w:bCs/>
        </w:rPr>
        <w:t>Case: the agency’s data</w:t>
      </w:r>
    </w:p>
    <w:p w14:paraId="66D54FE8" w14:textId="77777777" w:rsidR="006D079F" w:rsidRDefault="00000000">
      <w:pPr>
        <w:numPr>
          <w:ilvl w:val="0"/>
          <w:numId w:val="15"/>
        </w:numPr>
      </w:pPr>
      <w:r>
        <w:t>Demographic profile: 29% over 65 (2024); total fertility rate 1.20 (2023); workforce shrinking by 0.5% annually.</w:t>
      </w:r>
    </w:p>
    <w:p w14:paraId="206775C3" w14:textId="77777777" w:rsidR="006D079F" w:rsidRDefault="00000000">
      <w:pPr>
        <w:numPr>
          <w:ilvl w:val="0"/>
          <w:numId w:val="15"/>
        </w:numPr>
      </w:pPr>
      <w:r>
        <w:t>Pension system: National Pension and Employees’ Pension Insurance; benefit cuts and contribution-rate increases through the Macro-Economic Slide mechanism (2004); recent debates on extending the normal retirement age.</w:t>
      </w:r>
    </w:p>
    <w:p w14:paraId="3C1D9028" w14:textId="77777777" w:rsidR="006D079F" w:rsidRDefault="00000000">
      <w:pPr>
        <w:numPr>
          <w:ilvl w:val="0"/>
          <w:numId w:val="15"/>
        </w:numPr>
      </w:pPr>
      <w:r>
        <w:lastRenderedPageBreak/>
        <w:t>Macroeconomic policy: zero/negative interest rates 2016–2024; recent normalisation; persistent low-inflation/low-growth dynamics.</w:t>
      </w:r>
    </w:p>
    <w:p w14:paraId="553031F6" w14:textId="77777777" w:rsidR="006D079F" w:rsidRDefault="00000000">
      <w:pPr>
        <w:numPr>
          <w:ilvl w:val="0"/>
          <w:numId w:val="15"/>
        </w:numPr>
      </w:pPr>
      <w:r>
        <w:t>Labour-market response: among the world’s highest industrial-robot densities (second to South Korea on the IFR per-thousand-worker measure); female labour-force participation 73% (up from 60% two decades ago, but lagging Nordic 80%+); elder employment expansion.</w:t>
      </w:r>
    </w:p>
    <w:p w14:paraId="34F985A1" w14:textId="77777777" w:rsidR="006D079F" w:rsidRDefault="00000000">
      <w:pPr>
        <w:numPr>
          <w:ilvl w:val="0"/>
          <w:numId w:val="15"/>
        </w:numPr>
      </w:pPr>
      <w:r>
        <w:t>Immigration policy: Specified Skilled Worker (SSW) visa established 2018; expanded 2023 to additional sectors; technical-intern training program (TITP) reforms.</w:t>
      </w:r>
    </w:p>
    <w:p w14:paraId="63885477" w14:textId="77777777" w:rsidR="006D079F" w:rsidRDefault="00000000">
      <w:pPr>
        <w:numPr>
          <w:ilvl w:val="0"/>
          <w:numId w:val="15"/>
        </w:numPr>
      </w:pPr>
      <w:r>
        <w:t>Migrant population: ~3% of total population (small by OECD standards); growing modestly; concentrated in specific sectors (manufacturing, construction, eldercare, agriculture).</w:t>
      </w:r>
    </w:p>
    <w:p w14:paraId="001D576A" w14:textId="77777777" w:rsidR="006D079F" w:rsidRDefault="00000000">
      <w:pPr>
        <w:numPr>
          <w:ilvl w:val="0"/>
          <w:numId w:val="15"/>
        </w:numPr>
      </w:pPr>
      <w:r>
        <w:t>Coalition dynamics: pro-migration coalition includes labour-shortage-sector employers, prefectural governments in depopulating regions, technocratic policy elite. Anti-migration coalition includes cultural conservatives, identitarian political actors.</w:t>
      </w:r>
    </w:p>
    <w:p w14:paraId="00AF2C7E" w14:textId="77777777" w:rsidR="006D079F" w:rsidRDefault="00000000">
      <w:pPr>
        <w:numPr>
          <w:ilvl w:val="0"/>
          <w:numId w:val="15"/>
        </w:numPr>
      </w:pPr>
      <w:r>
        <w:t>Recent context: 2024–25 immigration-policy debates; renewed attention to Womenomics; aging-and-AI interaction (Acemoglu-Restrepo logic visible).</w:t>
      </w:r>
    </w:p>
    <w:p w14:paraId="5B4A8CFA" w14:textId="77777777" w:rsidR="006D079F" w:rsidRDefault="00000000">
      <w:pPr>
        <w:pStyle w:val="Heading3"/>
      </w:pPr>
      <w:bookmarkStart w:id="6" w:name="discussion-questions-from-the-case-pack"/>
      <w:bookmarkEnd w:id="5"/>
      <w:r>
        <w:t>Discussion questions from the case pack</w:t>
      </w:r>
    </w:p>
    <w:p w14:paraId="560F4BAA" w14:textId="77777777" w:rsidR="006D079F" w:rsidRDefault="00000000">
      <w:pPr>
        <w:numPr>
          <w:ilvl w:val="0"/>
          <w:numId w:val="16"/>
        </w:numPr>
      </w:pPr>
      <w:r>
        <w:t>Apply policy feedback (Lecture 3) to pension reform: what does it predict, and where does the evidence match?</w:t>
      </w:r>
    </w:p>
    <w:p w14:paraId="23D6AD0C" w14:textId="77777777" w:rsidR="006D079F" w:rsidRDefault="00000000">
      <w:pPr>
        <w:numPr>
          <w:ilvl w:val="0"/>
          <w:numId w:val="16"/>
        </w:numPr>
      </w:pPr>
      <w:r>
        <w:t>Apply Hollifield’s migration state and Freeman’s typology to immigration policy.</w:t>
      </w:r>
    </w:p>
    <w:p w14:paraId="7DB97B99" w14:textId="77777777" w:rsidR="006D079F" w:rsidRDefault="00000000">
      <w:pPr>
        <w:numPr>
          <w:ilvl w:val="0"/>
          <w:numId w:val="16"/>
        </w:numPr>
      </w:pPr>
      <w:r>
        <w:t>Identify coalitions: who is pushing for more migration, who is pushing back, and on what interests?</w:t>
      </w:r>
    </w:p>
    <w:p w14:paraId="4FC79F68" w14:textId="77777777" w:rsidR="006D079F" w:rsidRDefault="00000000">
      <w:pPr>
        <w:numPr>
          <w:ilvl w:val="0"/>
          <w:numId w:val="16"/>
        </w:numPr>
      </w:pPr>
      <w:r>
        <w:t>Reach a governance-trajectory verdict for Japan’s case.</w:t>
      </w:r>
    </w:p>
    <w:p w14:paraId="383B3851" w14:textId="77777777" w:rsidR="006D079F" w:rsidRDefault="00000000">
      <w:pPr>
        <w:numPr>
          <w:ilvl w:val="0"/>
          <w:numId w:val="16"/>
        </w:numPr>
      </w:pPr>
      <w:r>
        <w:t>Compare to South Korea: same archetype, different pace and trajectory — what specifically differs?</w:t>
      </w:r>
    </w:p>
    <w:p w14:paraId="52EC459B" w14:textId="77777777" w:rsidR="006D079F" w:rsidRDefault="00000000">
      <w:pPr>
        <w:numPr>
          <w:ilvl w:val="0"/>
          <w:numId w:val="16"/>
        </w:numPr>
      </w:pPr>
      <w:r>
        <w:t>Cross-transition reflection: what does Japan’s aging-and-automation experience imply for AI governance (Lecture 11)?</w:t>
      </w:r>
    </w:p>
    <w:p w14:paraId="4D371E67" w14:textId="77777777" w:rsidR="006D079F" w:rsidRDefault="00000000">
      <w:r>
        <w:br w:type="page"/>
      </w:r>
    </w:p>
    <w:p w14:paraId="296894A5" w14:textId="77777777" w:rsidR="00330B99" w:rsidRDefault="00330B99">
      <w:pPr>
        <w:pStyle w:val="Heading1"/>
      </w:pPr>
      <w:bookmarkStart w:id="7" w:name="X2259fb91e62bfe65ac53e97987933b539d77c38"/>
      <w:bookmarkEnd w:id="0"/>
      <w:bookmarkEnd w:id="1"/>
      <w:bookmarkEnd w:id="6"/>
    </w:p>
    <w:p w14:paraId="2E9935A0" w14:textId="77777777" w:rsidR="00330B99" w:rsidRDefault="00330B99">
      <w:pPr>
        <w:pStyle w:val="Heading1"/>
      </w:pPr>
    </w:p>
    <w:p w14:paraId="2992B8F6" w14:textId="77777777" w:rsidR="00330B99" w:rsidRDefault="00330B99">
      <w:pPr>
        <w:pStyle w:val="Heading1"/>
      </w:pPr>
    </w:p>
    <w:p w14:paraId="16BE2AF4" w14:textId="77777777" w:rsidR="00330B99" w:rsidRDefault="00330B99">
      <w:pPr>
        <w:pStyle w:val="Heading1"/>
      </w:pPr>
    </w:p>
    <w:p w14:paraId="628DFC80" w14:textId="77777777" w:rsidR="00330B99" w:rsidRDefault="00330B99">
      <w:pPr>
        <w:pStyle w:val="Heading1"/>
      </w:pPr>
    </w:p>
    <w:p w14:paraId="71004D6D" w14:textId="77777777" w:rsidR="00330B99" w:rsidRDefault="00330B99">
      <w:pPr>
        <w:pStyle w:val="Heading1"/>
      </w:pPr>
    </w:p>
    <w:p w14:paraId="3578555B" w14:textId="77777777" w:rsidR="00330B99" w:rsidRDefault="00330B99">
      <w:pPr>
        <w:pStyle w:val="Heading1"/>
      </w:pPr>
    </w:p>
    <w:p w14:paraId="2049A888" w14:textId="77777777" w:rsidR="00330B99" w:rsidRDefault="00330B99">
      <w:pPr>
        <w:pStyle w:val="Heading1"/>
      </w:pPr>
    </w:p>
    <w:p w14:paraId="71A3404C" w14:textId="77777777" w:rsidR="00330B99" w:rsidRDefault="00330B99">
      <w:pPr>
        <w:pStyle w:val="Heading1"/>
      </w:pPr>
    </w:p>
    <w:p w14:paraId="0FB46512" w14:textId="77777777" w:rsidR="00330B99" w:rsidRDefault="00330B99">
      <w:pPr>
        <w:pStyle w:val="Heading1"/>
      </w:pPr>
    </w:p>
    <w:p w14:paraId="1831584A" w14:textId="77777777" w:rsidR="00330B99" w:rsidRDefault="00330B99">
      <w:pPr>
        <w:pStyle w:val="Heading1"/>
      </w:pPr>
    </w:p>
    <w:p w14:paraId="12485461" w14:textId="77777777" w:rsidR="00330B99" w:rsidRDefault="00330B99">
      <w:pPr>
        <w:pStyle w:val="Heading1"/>
      </w:pPr>
    </w:p>
    <w:p w14:paraId="6AAC2AB2" w14:textId="77777777" w:rsidR="00330B99" w:rsidRDefault="00330B99">
      <w:pPr>
        <w:pStyle w:val="Heading1"/>
      </w:pPr>
    </w:p>
    <w:p w14:paraId="0AEA7361" w14:textId="77777777" w:rsidR="00330B99" w:rsidRDefault="00330B99">
      <w:pPr>
        <w:pStyle w:val="Heading1"/>
      </w:pPr>
    </w:p>
    <w:p w14:paraId="7768B8B3" w14:textId="77777777" w:rsidR="00330B99" w:rsidRDefault="00330B99">
      <w:pPr>
        <w:pStyle w:val="Heading1"/>
      </w:pPr>
    </w:p>
    <w:p w14:paraId="5696401D" w14:textId="5F591432" w:rsidR="006D079F" w:rsidRDefault="00000000">
      <w:pPr>
        <w:pStyle w:val="Heading1"/>
      </w:pPr>
      <w:r>
        <w:lastRenderedPageBreak/>
        <w:t>Demographic and Migration Governance Cases — Worksheet</w:t>
      </w:r>
    </w:p>
    <w:p w14:paraId="5D268B8C" w14:textId="77777777" w:rsidR="006D079F" w:rsidRDefault="00000000">
      <w:pPr>
        <w:pStyle w:val="Heading2"/>
      </w:pPr>
      <w:bookmarkStart w:id="8" w:name="X952ecf5b7cc4624a239dc2752aac1f95fa6fe36"/>
      <w:r>
        <w:t>South Korea demographic-and-fertility governance — Demographic governance under aging pair</w:t>
      </w:r>
    </w:p>
    <w:p w14:paraId="2AC47318" w14:textId="77777777" w:rsidR="006D079F" w:rsidRDefault="00000000">
      <w:r>
        <w:rPr>
          <w:i/>
          <w:iCs/>
        </w:rPr>
        <w:t>IR227 Seminar 10 — Group worksheet</w:t>
      </w:r>
    </w:p>
    <w:p w14:paraId="4D803583" w14:textId="77777777" w:rsidR="006D079F" w:rsidRDefault="00000000">
      <w:pPr>
        <w:pStyle w:val="Heading3"/>
      </w:pPr>
      <w:bookmarkStart w:id="9" w:name="task-1"/>
      <w:r>
        <w:t>Task</w:t>
      </w:r>
    </w:p>
    <w:p w14:paraId="4A91BB9B" w14:textId="77777777" w:rsidR="006D079F" w:rsidRDefault="00000000">
      <w:r>
        <w:t>Take your assigned demographic-or-migration governance case. Apply the relevant frameworks. Identify coalitions. Reach a verdict on governance trajectory. Then close with a brief cross-transition reflection: what does this case imply for climate (Lecture 9) or AI (Lecture 11)?</w:t>
      </w:r>
    </w:p>
    <w:p w14:paraId="53D6FB0E" w14:textId="77777777" w:rsidR="006D079F" w:rsidRDefault="00000000">
      <w:pPr>
        <w:pStyle w:val="BodyText"/>
      </w:pPr>
      <w:r>
        <w:t>The analytical tools you will deploy are: the Advocacy Coalition Framework (Lecture 3), Hollifield’s migration state, and Freeman’s typology.</w:t>
      </w:r>
    </w:p>
    <w:p w14:paraId="796A2871" w14:textId="77777777" w:rsidR="006D079F" w:rsidRDefault="00000000">
      <w:pPr>
        <w:pStyle w:val="Heading3"/>
      </w:pPr>
      <w:bookmarkStart w:id="10" w:name="requirements-1"/>
      <w:bookmarkEnd w:id="9"/>
      <w:r>
        <w:t>Requirements</w:t>
      </w:r>
    </w:p>
    <w:p w14:paraId="789E6784" w14:textId="77777777" w:rsidR="006D079F" w:rsidRDefault="00000000">
      <w:pPr>
        <w:numPr>
          <w:ilvl w:val="0"/>
          <w:numId w:val="17"/>
        </w:numPr>
      </w:pPr>
      <w:r>
        <w:t>identify which frameworks apply to your case, with evidence,</w:t>
      </w:r>
    </w:p>
    <w:p w14:paraId="6FF62584" w14:textId="77777777" w:rsidR="006D079F" w:rsidRDefault="00000000">
      <w:pPr>
        <w:numPr>
          <w:ilvl w:val="0"/>
          <w:numId w:val="17"/>
        </w:numPr>
      </w:pPr>
      <w:r>
        <w:t>apply each: what does it predict for the case, and where does the prediction match the evidence,</w:t>
      </w:r>
    </w:p>
    <w:p w14:paraId="510A2ED1" w14:textId="77777777" w:rsidR="006D079F" w:rsidRDefault="00000000">
      <w:pPr>
        <w:numPr>
          <w:ilvl w:val="0"/>
          <w:numId w:val="17"/>
        </w:numPr>
      </w:pPr>
      <w:r>
        <w:t>identify coalitions, specifying actors and interests,</w:t>
      </w:r>
    </w:p>
    <w:p w14:paraId="0EB2D721" w14:textId="77777777" w:rsidR="006D079F" w:rsidRDefault="00000000">
      <w:pPr>
        <w:numPr>
          <w:ilvl w:val="0"/>
          <w:numId w:val="17"/>
        </w:numPr>
      </w:pPr>
      <w:r>
        <w:t>reach a governance-trajectory verdict, and</w:t>
      </w:r>
    </w:p>
    <w:p w14:paraId="7DF3C03C" w14:textId="77777777" w:rsidR="006D079F" w:rsidRDefault="00000000">
      <w:pPr>
        <w:numPr>
          <w:ilvl w:val="0"/>
          <w:numId w:val="17"/>
        </w:numPr>
      </w:pPr>
      <w:r>
        <w:t>close with a specific cross-transition reflection: what does your case imply for climate (Lecture 9) or AI (Lecture 11)?</w:t>
      </w:r>
    </w:p>
    <w:p w14:paraId="0B22C74B" w14:textId="77777777" w:rsidR="006D079F" w:rsidRDefault="00000000">
      <w:r>
        <w:t>Note: these cases are deliberately under-determined. There is no single correct verdict — you will be assessed on the strength of the reasoning chain (framework application → coalition analysis → verdict → cross-transition reflection), not on which verdict you reach.</w:t>
      </w:r>
    </w:p>
    <w:p w14:paraId="504447B6" w14:textId="77777777" w:rsidR="006D079F" w:rsidRDefault="00000000">
      <w:pPr>
        <w:pStyle w:val="Heading3"/>
      </w:pPr>
      <w:bookmarkStart w:id="11" w:name="tool-summary-1"/>
      <w:bookmarkEnd w:id="10"/>
      <w:r>
        <w:t>Tool summary</w:t>
      </w:r>
    </w:p>
    <w:p w14:paraId="667FE52F" w14:textId="77777777" w:rsidR="006D079F" w:rsidRDefault="00000000">
      <w:r>
        <w:rPr>
          <w:b/>
          <w:bCs/>
        </w:rPr>
        <w:t>Three-tier belief structure (ACF; Nohrstedt 2023).</w:t>
      </w:r>
      <w:r>
        <w:t xml:space="preserve"> A coalition is not “the people who want X” — it is a group with shared policy-core beliefs, persistent over time, with coordinated activity, even if not formally organised.</w:t>
      </w:r>
    </w:p>
    <w:p w14:paraId="538834A2" w14:textId="77777777" w:rsidR="006D079F" w:rsidRDefault="00000000">
      <w:pPr>
        <w:numPr>
          <w:ilvl w:val="0"/>
          <w:numId w:val="18"/>
        </w:numPr>
      </w:pPr>
      <w:r>
        <w:t>Deep core — fundamental normative commitments. Broadly philosophical and resistant to change.</w:t>
      </w:r>
    </w:p>
    <w:p w14:paraId="2B580EA8" w14:textId="77777777" w:rsidR="006D079F" w:rsidRDefault="00000000">
      <w:pPr>
        <w:numPr>
          <w:ilvl w:val="0"/>
          <w:numId w:val="18"/>
        </w:numPr>
      </w:pPr>
      <w:r>
        <w:t>Policy core — positions on the proper scope of government in the domain, plus causal beliefs. This is the tier coalitions actually form around.</w:t>
      </w:r>
    </w:p>
    <w:p w14:paraId="6C371AC5" w14:textId="77777777" w:rsidR="006D079F" w:rsidRDefault="00000000">
      <w:pPr>
        <w:numPr>
          <w:ilvl w:val="0"/>
          <w:numId w:val="18"/>
        </w:numPr>
      </w:pPr>
      <w:r>
        <w:t>Secondary aspects — implementation details, instruments, budgets. The most negotiable tier.</w:t>
      </w:r>
    </w:p>
    <w:p w14:paraId="190AEC4F" w14:textId="77777777" w:rsidR="006D079F" w:rsidRDefault="00000000">
      <w:r>
        <w:rPr>
          <w:b/>
          <w:bCs/>
        </w:rPr>
        <w:lastRenderedPageBreak/>
        <w:t>Hollifield’s migration state (Hollifield 2004).</w:t>
      </w:r>
      <w:r>
        <w:t xml:space="preserve"> The 20th–21st centuries have seen the emergence of the migration state, in which regulating international migration sits alongside providing security and economic well-being as a core state function. Rights are the key instrument. The liberal paradox — economic openness pulling one way, political pressure pulling the other — is structural to every liberal democracy, not contingent on any one of them.</w:t>
      </w:r>
    </w:p>
    <w:p w14:paraId="5318462D" w14:textId="77777777" w:rsidR="006D079F" w:rsidRDefault="00000000">
      <w:pPr>
        <w:numPr>
          <w:ilvl w:val="0"/>
          <w:numId w:val="19"/>
        </w:numPr>
      </w:pPr>
      <w:r>
        <w:rPr>
          <w:i/>
          <w:iCs/>
        </w:rPr>
        <w:t>How to apply it:</w:t>
      </w:r>
      <w:r>
        <w:t xml:space="preserve"> name (i) the actor(s) or institution(s) generating economic-integration pressure toward openness, (ii) the actor(s) generating security/political pressure toward closure, and (iii) which of the two is currently binding in your case. “There’s a tension between economy and security” is not itself an answer — the analytical work is in naming the two sides concretely and describing the institutional design that navigates between them.</w:t>
      </w:r>
    </w:p>
    <w:p w14:paraId="6548FE04" w14:textId="77777777" w:rsidR="006D079F" w:rsidRDefault="00000000">
      <w:pPr>
        <w:numPr>
          <w:ilvl w:val="0"/>
          <w:numId w:val="19"/>
        </w:numPr>
      </w:pPr>
      <w:r>
        <w:rPr>
          <w:i/>
          <w:iCs/>
        </w:rPr>
        <w:t>Scope check:</w:t>
      </w:r>
      <w:r>
        <w:t xml:space="preserve"> Hollifield’s own argument is about rights </w:t>
      </w:r>
      <w:r>
        <w:rPr>
          <w:i/>
          <w:iCs/>
        </w:rPr>
        <w:t>extension</w:t>
      </w:r>
      <w:r>
        <w:t xml:space="preserve"> to migrants, as part of economic integration. If your case instead restricts rights (a deterrence or security design), that reading is an analytical extension beyond Hollifield’s original claim — say so explicitly rather than presenting it as Hollifield’s own finding.</w:t>
      </w:r>
    </w:p>
    <w:p w14:paraId="3C45DF35" w14:textId="77777777" w:rsidR="006D079F" w:rsidRDefault="00000000">
      <w:r>
        <w:rPr>
          <w:b/>
          <w:bCs/>
        </w:rPr>
        <w:t>Freeman’s typology (Freeman 2006).</w:t>
      </w:r>
      <w:r>
        <w:t xml:space="preserve"> Each type of immigration policy produces a distinctive mode of politics.</w:t>
      </w:r>
    </w:p>
    <w:p w14:paraId="5F90C27A" w14:textId="77777777" w:rsidR="006D079F" w:rsidRDefault="00000000">
      <w:pPr>
        <w:numPr>
          <w:ilvl w:val="0"/>
          <w:numId w:val="20"/>
        </w:numPr>
      </w:pPr>
      <w:r>
        <w:t>Concentrated distributive — permanent-residence visas — client politics.</w:t>
      </w:r>
    </w:p>
    <w:p w14:paraId="4F81B46F" w14:textId="77777777" w:rsidR="006D079F" w:rsidRDefault="00000000">
      <w:pPr>
        <w:numPr>
          <w:ilvl w:val="0"/>
          <w:numId w:val="20"/>
        </w:numPr>
      </w:pPr>
      <w:r>
        <w:t>Diffuse distributive — non-immigrant visas (tourism, study) — majoritarian politics.</w:t>
      </w:r>
    </w:p>
    <w:p w14:paraId="3DF3F8AA" w14:textId="77777777" w:rsidR="006D079F" w:rsidRDefault="00000000">
      <w:pPr>
        <w:numPr>
          <w:ilvl w:val="0"/>
          <w:numId w:val="20"/>
        </w:numPr>
      </w:pPr>
      <w:r>
        <w:t>Redistributive — non-immigrant work visas; welfare for immigrants — interest-group politics.</w:t>
      </w:r>
    </w:p>
    <w:p w14:paraId="539772A4" w14:textId="77777777" w:rsidR="006D079F" w:rsidRDefault="00000000">
      <w:pPr>
        <w:numPr>
          <w:ilvl w:val="0"/>
          <w:numId w:val="20"/>
        </w:numPr>
      </w:pPr>
      <w:r>
        <w:t>Regulatory — asylum claims — entrepreneurial politics.</w:t>
      </w:r>
    </w:p>
    <w:p w14:paraId="7415D218" w14:textId="77777777" w:rsidR="006D079F" w:rsidRDefault="00000000">
      <w:pPr>
        <w:pStyle w:val="Heading3"/>
      </w:pPr>
      <w:bookmarkStart w:id="12" w:name="case-specifics-from-the-case-pack-1"/>
      <w:bookmarkEnd w:id="11"/>
      <w:r>
        <w:t>Case specifics (from the case pack)</w:t>
      </w:r>
    </w:p>
    <w:p w14:paraId="0429DEBB" w14:textId="77777777" w:rsidR="006D079F" w:rsidRDefault="00000000">
      <w:r>
        <w:t>South Korea has the world’s lowest total fertility rate — 0.72 in 2023 — down from 1.30 in 2001, despite over $200bn in cumulative pronatalist spending. Demographic decline is acute, and the immigration-policy response has come later than Japan’s, but is now moving more rapidly.</w:t>
      </w:r>
    </w:p>
    <w:p w14:paraId="555250B9" w14:textId="77777777" w:rsidR="006D079F" w:rsidRDefault="00000000">
      <w:pPr>
        <w:pStyle w:val="BodyText"/>
      </w:pPr>
      <w:r>
        <w:rPr>
          <w:b/>
          <w:bCs/>
        </w:rPr>
        <w:t>Case: the agency’s data</w:t>
      </w:r>
    </w:p>
    <w:p w14:paraId="51EFAA2A" w14:textId="77777777" w:rsidR="006D079F" w:rsidRDefault="00000000">
      <w:pPr>
        <w:numPr>
          <w:ilvl w:val="0"/>
          <w:numId w:val="21"/>
        </w:numPr>
      </w:pPr>
      <w:r>
        <w:t>Demographic profile: total fertility rate 0.72 (2023, lowest in OECD history); old-age dependency ratio rising fastest in OECD; population peaked in 2020 at 51.8m, declining since.</w:t>
      </w:r>
    </w:p>
    <w:p w14:paraId="725FE8BE" w14:textId="77777777" w:rsidR="006D079F" w:rsidRDefault="00000000">
      <w:pPr>
        <w:numPr>
          <w:ilvl w:val="0"/>
          <w:numId w:val="21"/>
        </w:numPr>
      </w:pPr>
      <w:r>
        <w:t xml:space="preserve">Pronatalist policy: &gt;$200bn cumulative spending 2006–2021 (Korean-government low-fertility-plan reporting); multiple national plans; recent “Yoon’s super-budget” family policy (2024); Choo and Jales’ analysis (of the local-government baby-bonus </w:t>
      </w:r>
      <w:r>
        <w:lastRenderedPageBreak/>
        <w:t>component): the programme would need to be 15× larger to bring fertility back to desired levels; 74% of expenditures associated with infra-marginal births.</w:t>
      </w:r>
    </w:p>
    <w:p w14:paraId="6470B8E8" w14:textId="77777777" w:rsidR="006D079F" w:rsidRDefault="00000000">
      <w:pPr>
        <w:numPr>
          <w:ilvl w:val="0"/>
          <w:numId w:val="21"/>
        </w:numPr>
      </w:pPr>
      <w:r>
        <w:t>Welfare-state typology: hybrid developmental/familialist; conservative gender norms in family structures persist alongside modernising labour markets.</w:t>
      </w:r>
    </w:p>
    <w:p w14:paraId="53728E19" w14:textId="77777777" w:rsidR="006D079F" w:rsidRDefault="00000000">
      <w:pPr>
        <w:numPr>
          <w:ilvl w:val="0"/>
          <w:numId w:val="21"/>
        </w:numPr>
      </w:pPr>
      <w:r>
        <w:t>Labour-market dynamics: long working hours; gender-pay-gap among the highest in the OECD; growing female labour-force participation but slower than other middle-income peers.</w:t>
      </w:r>
    </w:p>
    <w:p w14:paraId="6CC22B8C" w14:textId="77777777" w:rsidR="006D079F" w:rsidRDefault="00000000">
      <w:pPr>
        <w:numPr>
          <w:ilvl w:val="0"/>
          <w:numId w:val="21"/>
        </w:numPr>
      </w:pPr>
      <w:r>
        <w:t>Immigration policy: traditional ethnic-nationalist framing; recent expansion of E-9 (low-skilled) and E-7 (skilled) visas; F-2-7 (long-term residence) and F-5 (permanent residence) pathways selectively expanded; net immigration has turned positive.</w:t>
      </w:r>
    </w:p>
    <w:p w14:paraId="700D8B39" w14:textId="77777777" w:rsidR="006D079F" w:rsidRDefault="00000000">
      <w:pPr>
        <w:numPr>
          <w:ilvl w:val="0"/>
          <w:numId w:val="21"/>
        </w:numPr>
      </w:pPr>
      <w:r>
        <w:t>Coalition dynamics: pro-fertility coalition includes some women’s organisations, employer interests in labour-force participation, family-policy bureaucracy. Pro-immigration coalition includes labour-shortage-sector employers (manufacturing, agriculture, eldercare), some academic and policy elites; anti-immigration coalition includes ethnic-nationalist political tradition, segments of organised labour, cultural conservatives.</w:t>
      </w:r>
    </w:p>
    <w:p w14:paraId="52A3032A" w14:textId="77777777" w:rsidR="006D079F" w:rsidRDefault="00000000">
      <w:pPr>
        <w:numPr>
          <w:ilvl w:val="0"/>
          <w:numId w:val="21"/>
        </w:numPr>
      </w:pPr>
      <w:r>
        <w:t>Recent context: 2024–25 family-policy initiatives under the Yoon administration; ongoing fertility decline; immigration-policy expansion debates.</w:t>
      </w:r>
    </w:p>
    <w:p w14:paraId="52BD4D08" w14:textId="77777777" w:rsidR="006D079F" w:rsidRDefault="00000000">
      <w:pPr>
        <w:pStyle w:val="Heading3"/>
      </w:pPr>
      <w:bookmarkStart w:id="13" w:name="X4cf3b874869529e6c61abdce607a1eefc2e0dc7"/>
      <w:bookmarkEnd w:id="12"/>
      <w:r>
        <w:t>Discussion questions from the case pack</w:t>
      </w:r>
    </w:p>
    <w:p w14:paraId="4340FF87" w14:textId="77777777" w:rsidR="006D079F" w:rsidRDefault="00000000">
      <w:pPr>
        <w:numPr>
          <w:ilvl w:val="0"/>
          <w:numId w:val="22"/>
        </w:numPr>
      </w:pPr>
      <w:r>
        <w:t>Apply ACF (Lecture 3) to the pronatalist-policy coalition: who are the coalitions, and what are their three-tier beliefs?</w:t>
      </w:r>
    </w:p>
    <w:p w14:paraId="2F97ACCB" w14:textId="77777777" w:rsidR="006D079F" w:rsidRDefault="00000000">
      <w:pPr>
        <w:numPr>
          <w:ilvl w:val="0"/>
          <w:numId w:val="22"/>
        </w:numPr>
      </w:pPr>
      <w:r>
        <w:t>Apply Hollifield and Freeman to immigration policy.</w:t>
      </w:r>
    </w:p>
    <w:p w14:paraId="68CCBDE9" w14:textId="77777777" w:rsidR="006D079F" w:rsidRDefault="00000000">
      <w:pPr>
        <w:numPr>
          <w:ilvl w:val="0"/>
          <w:numId w:val="22"/>
        </w:numPr>
      </w:pPr>
      <w:r>
        <w:t>Identify the binding constraint on fertility.</w:t>
      </w:r>
    </w:p>
    <w:p w14:paraId="119E8F81" w14:textId="77777777" w:rsidR="006D079F" w:rsidRDefault="00000000">
      <w:pPr>
        <w:numPr>
          <w:ilvl w:val="0"/>
          <w:numId w:val="22"/>
        </w:numPr>
      </w:pPr>
      <w:r>
        <w:t>Compare to Japan: same archetype, different pace — what specifically differs?</w:t>
      </w:r>
    </w:p>
    <w:p w14:paraId="0AF40502" w14:textId="77777777" w:rsidR="006D079F" w:rsidRDefault="00000000">
      <w:pPr>
        <w:numPr>
          <w:ilvl w:val="0"/>
          <w:numId w:val="22"/>
        </w:numPr>
      </w:pPr>
      <w:r>
        <w:t>Cross-transition reflection: what does Korea’s demographic-and-AI interaction imply for AI labour-market governance (Lecture 11)?</w:t>
      </w:r>
    </w:p>
    <w:p w14:paraId="4E70D998" w14:textId="77777777" w:rsidR="006D079F" w:rsidRDefault="00000000">
      <w:r>
        <w:br w:type="page"/>
      </w:r>
    </w:p>
    <w:p w14:paraId="373B32DC" w14:textId="77777777" w:rsidR="00330B99" w:rsidRDefault="00330B99">
      <w:pPr>
        <w:pStyle w:val="Heading1"/>
      </w:pPr>
      <w:bookmarkStart w:id="14" w:name="X46705ad9ecdefd21175439646746651dc52a026"/>
      <w:bookmarkEnd w:id="7"/>
      <w:bookmarkEnd w:id="8"/>
      <w:bookmarkEnd w:id="13"/>
    </w:p>
    <w:p w14:paraId="2508B2BB" w14:textId="77777777" w:rsidR="00330B99" w:rsidRDefault="00330B99">
      <w:pPr>
        <w:pStyle w:val="Heading1"/>
      </w:pPr>
    </w:p>
    <w:p w14:paraId="56FF46BD" w14:textId="77777777" w:rsidR="00330B99" w:rsidRDefault="00330B99">
      <w:pPr>
        <w:pStyle w:val="Heading1"/>
      </w:pPr>
    </w:p>
    <w:p w14:paraId="172B95FB" w14:textId="77777777" w:rsidR="00330B99" w:rsidRDefault="00330B99">
      <w:pPr>
        <w:pStyle w:val="Heading1"/>
      </w:pPr>
    </w:p>
    <w:p w14:paraId="00CD8C4F" w14:textId="77777777" w:rsidR="00330B99" w:rsidRDefault="00330B99">
      <w:pPr>
        <w:pStyle w:val="Heading1"/>
      </w:pPr>
    </w:p>
    <w:p w14:paraId="6B10B6D9" w14:textId="77777777" w:rsidR="00330B99" w:rsidRDefault="00330B99">
      <w:pPr>
        <w:pStyle w:val="Heading1"/>
      </w:pPr>
    </w:p>
    <w:p w14:paraId="6C5107E9" w14:textId="77777777" w:rsidR="00330B99" w:rsidRDefault="00330B99">
      <w:pPr>
        <w:pStyle w:val="Heading1"/>
      </w:pPr>
    </w:p>
    <w:p w14:paraId="2A6F0D61" w14:textId="77777777" w:rsidR="00330B99" w:rsidRDefault="00330B99">
      <w:pPr>
        <w:pStyle w:val="Heading1"/>
      </w:pPr>
    </w:p>
    <w:p w14:paraId="04B00641" w14:textId="77777777" w:rsidR="00330B99" w:rsidRDefault="00330B99">
      <w:pPr>
        <w:pStyle w:val="Heading1"/>
      </w:pPr>
    </w:p>
    <w:p w14:paraId="6207E4E3" w14:textId="77777777" w:rsidR="00330B99" w:rsidRDefault="00330B99">
      <w:pPr>
        <w:pStyle w:val="Heading1"/>
      </w:pPr>
    </w:p>
    <w:p w14:paraId="5A0BCFD0" w14:textId="77777777" w:rsidR="00330B99" w:rsidRDefault="00330B99">
      <w:pPr>
        <w:pStyle w:val="Heading1"/>
      </w:pPr>
    </w:p>
    <w:p w14:paraId="6237F353" w14:textId="77777777" w:rsidR="00330B99" w:rsidRDefault="00330B99">
      <w:pPr>
        <w:pStyle w:val="Heading1"/>
      </w:pPr>
    </w:p>
    <w:p w14:paraId="711F48D1" w14:textId="77777777" w:rsidR="00330B99" w:rsidRDefault="00330B99">
      <w:pPr>
        <w:pStyle w:val="Heading1"/>
      </w:pPr>
    </w:p>
    <w:p w14:paraId="2F12211E" w14:textId="77777777" w:rsidR="00330B99" w:rsidRDefault="00330B99">
      <w:pPr>
        <w:pStyle w:val="Heading1"/>
      </w:pPr>
    </w:p>
    <w:p w14:paraId="77F43E4A" w14:textId="77777777" w:rsidR="00330B99" w:rsidRDefault="00330B99">
      <w:pPr>
        <w:pStyle w:val="Heading1"/>
      </w:pPr>
    </w:p>
    <w:p w14:paraId="5A587B14" w14:textId="658D4746" w:rsidR="006D079F" w:rsidRDefault="00000000">
      <w:pPr>
        <w:pStyle w:val="Heading1"/>
      </w:pPr>
      <w:r>
        <w:lastRenderedPageBreak/>
        <w:t>Demographic and Migration Governance Cases — Worksheet</w:t>
      </w:r>
    </w:p>
    <w:p w14:paraId="0F768676" w14:textId="77777777" w:rsidR="006D079F" w:rsidRDefault="00000000">
      <w:pPr>
        <w:pStyle w:val="Heading2"/>
      </w:pPr>
      <w:bookmarkStart w:id="15" w:name="X933e3e37c0840f89f25461d28c2c1b9abd2d334"/>
      <w:r>
        <w:t>EU Common European Asylum System (CEAS) — Refugee/asylum governance under stress pair</w:t>
      </w:r>
    </w:p>
    <w:p w14:paraId="51110853" w14:textId="77777777" w:rsidR="006D079F" w:rsidRDefault="00000000">
      <w:r>
        <w:rPr>
          <w:i/>
          <w:iCs/>
        </w:rPr>
        <w:t>IR227 Seminar 10 — Group worksheet</w:t>
      </w:r>
    </w:p>
    <w:p w14:paraId="15793F7B" w14:textId="77777777" w:rsidR="006D079F" w:rsidRDefault="00000000">
      <w:pPr>
        <w:pStyle w:val="Heading3"/>
      </w:pPr>
      <w:bookmarkStart w:id="16" w:name="task-2"/>
      <w:r>
        <w:t>Task</w:t>
      </w:r>
    </w:p>
    <w:p w14:paraId="678517AA" w14:textId="77777777" w:rsidR="006D079F" w:rsidRDefault="00000000">
      <w:r>
        <w:t>Take your assigned demographic-or-migration governance case. Apply the relevant frameworks. Identify coalitions. Reach a verdict on governance trajectory. Then close with a brief cross-transition reflection: what does this case imply for climate (Lecture 9) or AI (Lecture 11)?</w:t>
      </w:r>
    </w:p>
    <w:p w14:paraId="77E9C79F" w14:textId="77777777" w:rsidR="006D079F" w:rsidRDefault="00000000">
      <w:pPr>
        <w:pStyle w:val="BodyText"/>
      </w:pPr>
      <w:r>
        <w:t>The analytical tools you will deploy are: Hollifield’s migration state and Freeman’s typology.</w:t>
      </w:r>
    </w:p>
    <w:p w14:paraId="5E9C0A0F" w14:textId="77777777" w:rsidR="006D079F" w:rsidRDefault="00000000">
      <w:pPr>
        <w:pStyle w:val="Heading3"/>
      </w:pPr>
      <w:bookmarkStart w:id="17" w:name="requirements-2"/>
      <w:bookmarkEnd w:id="16"/>
      <w:r>
        <w:t>Requirements</w:t>
      </w:r>
    </w:p>
    <w:p w14:paraId="233ABF7C" w14:textId="77777777" w:rsidR="006D079F" w:rsidRDefault="00000000">
      <w:pPr>
        <w:numPr>
          <w:ilvl w:val="0"/>
          <w:numId w:val="23"/>
        </w:numPr>
      </w:pPr>
      <w:r>
        <w:t>identify which frameworks apply to your case, with evidence,</w:t>
      </w:r>
    </w:p>
    <w:p w14:paraId="1FD0D051" w14:textId="77777777" w:rsidR="006D079F" w:rsidRDefault="00000000">
      <w:pPr>
        <w:numPr>
          <w:ilvl w:val="0"/>
          <w:numId w:val="23"/>
        </w:numPr>
      </w:pPr>
      <w:r>
        <w:t>apply each: what does it predict for the case, and where does the prediction match the evidence,</w:t>
      </w:r>
    </w:p>
    <w:p w14:paraId="28D465DB" w14:textId="77777777" w:rsidR="006D079F" w:rsidRDefault="00000000">
      <w:pPr>
        <w:numPr>
          <w:ilvl w:val="0"/>
          <w:numId w:val="23"/>
        </w:numPr>
      </w:pPr>
      <w:r>
        <w:t>identify coalitions, specifying actors and interests,</w:t>
      </w:r>
    </w:p>
    <w:p w14:paraId="77543F66" w14:textId="77777777" w:rsidR="006D079F" w:rsidRDefault="00000000">
      <w:pPr>
        <w:numPr>
          <w:ilvl w:val="0"/>
          <w:numId w:val="23"/>
        </w:numPr>
      </w:pPr>
      <w:r>
        <w:t>reach a governance-trajectory verdict, and</w:t>
      </w:r>
    </w:p>
    <w:p w14:paraId="761118C6" w14:textId="77777777" w:rsidR="006D079F" w:rsidRDefault="00000000">
      <w:pPr>
        <w:numPr>
          <w:ilvl w:val="0"/>
          <w:numId w:val="23"/>
        </w:numPr>
      </w:pPr>
      <w:r>
        <w:t>close with a specific cross-transition reflection: what does your case imply for climate (Lecture 9) or AI (Lecture 11)?</w:t>
      </w:r>
    </w:p>
    <w:p w14:paraId="08F0535A" w14:textId="77777777" w:rsidR="006D079F" w:rsidRDefault="00000000">
      <w:r>
        <w:t>Note: these cases are deliberately under-determined. There is no single correct verdict — you will be assessed on the strength of the reasoning chain (framework application → coalition analysis → verdict → cross-transition reflection), not on which verdict you reach.</w:t>
      </w:r>
    </w:p>
    <w:p w14:paraId="06BA5B12" w14:textId="77777777" w:rsidR="006D079F" w:rsidRDefault="00000000">
      <w:pPr>
        <w:pStyle w:val="Heading3"/>
      </w:pPr>
      <w:bookmarkStart w:id="18" w:name="tool-summary-2"/>
      <w:bookmarkEnd w:id="17"/>
      <w:r>
        <w:t>Tool summary</w:t>
      </w:r>
    </w:p>
    <w:p w14:paraId="36447DEF" w14:textId="77777777" w:rsidR="006D079F" w:rsidRDefault="00000000">
      <w:r>
        <w:rPr>
          <w:b/>
          <w:bCs/>
        </w:rPr>
        <w:t>Hollifield’s migration state (Hollifield 2004).</w:t>
      </w:r>
      <w:r>
        <w:t xml:space="preserve"> The 20th–21st centuries have seen the emergence of the migration state, in which regulating international migration sits alongside providing security and economic well-being as a core state function. Rights are the key instrument. The liberal paradox — economic openness pulling one way, political pressure pulling the other — is structural to every liberal democracy, not contingent on any one of them.</w:t>
      </w:r>
    </w:p>
    <w:p w14:paraId="7C9FFCBB" w14:textId="77777777" w:rsidR="006D079F" w:rsidRDefault="00000000">
      <w:pPr>
        <w:numPr>
          <w:ilvl w:val="0"/>
          <w:numId w:val="24"/>
        </w:numPr>
      </w:pPr>
      <w:r>
        <w:rPr>
          <w:i/>
          <w:iCs/>
        </w:rPr>
        <w:t>How to apply it:</w:t>
      </w:r>
      <w:r>
        <w:t xml:space="preserve"> name (i) the actor(s) or institution(s) generating economic-integration or humanitarian-commitment pressure toward openness, (ii) the actor(s) generating security/political pressure toward closure, and (iii) which of the two is currently binding in your case. “There’s a tension” is not itself an answer — the analytical work is in naming the two sides concretely and describing the institutional design that navigates between them.</w:t>
      </w:r>
    </w:p>
    <w:p w14:paraId="20AF9A01" w14:textId="77777777" w:rsidR="006D079F" w:rsidRDefault="00000000">
      <w:pPr>
        <w:numPr>
          <w:ilvl w:val="0"/>
          <w:numId w:val="24"/>
        </w:numPr>
      </w:pPr>
      <w:r>
        <w:rPr>
          <w:i/>
          <w:iCs/>
        </w:rPr>
        <w:lastRenderedPageBreak/>
        <w:t>Scope check:</w:t>
      </w:r>
      <w:r>
        <w:t xml:space="preserve"> Hollifield’s own argument is about rights </w:t>
      </w:r>
      <w:r>
        <w:rPr>
          <w:i/>
          <w:iCs/>
        </w:rPr>
        <w:t>extension</w:t>
      </w:r>
      <w:r>
        <w:t xml:space="preserve"> to migrants, as part of economic integration. If your case instead restricts rights (a deterrence or security design), that reading is an analytical extension beyond Hollifield’s original claim — say so explicitly rather than presenting it as Hollifield’s own finding.</w:t>
      </w:r>
    </w:p>
    <w:p w14:paraId="0BB3ECD0" w14:textId="77777777" w:rsidR="006D079F" w:rsidRDefault="00000000">
      <w:r>
        <w:rPr>
          <w:b/>
          <w:bCs/>
        </w:rPr>
        <w:t>Freeman’s typology (Freeman 2006).</w:t>
      </w:r>
      <w:r>
        <w:t xml:space="preserve"> Each type of immigration policy produces a distinctive mode of politics.</w:t>
      </w:r>
    </w:p>
    <w:p w14:paraId="10908FE1" w14:textId="77777777" w:rsidR="006D079F" w:rsidRDefault="00000000">
      <w:pPr>
        <w:numPr>
          <w:ilvl w:val="0"/>
          <w:numId w:val="25"/>
        </w:numPr>
      </w:pPr>
      <w:r>
        <w:t>Concentrated distributive — permanent-residence visas — client politics.</w:t>
      </w:r>
    </w:p>
    <w:p w14:paraId="14EC5394" w14:textId="77777777" w:rsidR="006D079F" w:rsidRDefault="00000000">
      <w:pPr>
        <w:numPr>
          <w:ilvl w:val="0"/>
          <w:numId w:val="25"/>
        </w:numPr>
      </w:pPr>
      <w:r>
        <w:t>Diffuse distributive — non-immigrant visas (tourism, study) — majoritarian politics.</w:t>
      </w:r>
    </w:p>
    <w:p w14:paraId="494F0804" w14:textId="77777777" w:rsidR="006D079F" w:rsidRDefault="00000000">
      <w:pPr>
        <w:numPr>
          <w:ilvl w:val="0"/>
          <w:numId w:val="25"/>
        </w:numPr>
      </w:pPr>
      <w:r>
        <w:t>Redistributive — non-immigrant work visas; welfare for immigrants — interest-group politics.</w:t>
      </w:r>
    </w:p>
    <w:p w14:paraId="77F36495" w14:textId="77777777" w:rsidR="006D079F" w:rsidRDefault="00000000">
      <w:pPr>
        <w:numPr>
          <w:ilvl w:val="0"/>
          <w:numId w:val="25"/>
        </w:numPr>
      </w:pPr>
      <w:r>
        <w:t>Regulatory — asylum claims — entrepreneurial politics.</w:t>
      </w:r>
    </w:p>
    <w:p w14:paraId="4F668DE2" w14:textId="77777777" w:rsidR="006D079F" w:rsidRDefault="00000000">
      <w:pPr>
        <w:pStyle w:val="Heading3"/>
      </w:pPr>
      <w:bookmarkStart w:id="19" w:name="case-specifics-from-the-case-pack-2"/>
      <w:bookmarkEnd w:id="18"/>
      <w:r>
        <w:t>Case specifics (from the case pack)</w:t>
      </w:r>
    </w:p>
    <w:p w14:paraId="2C5DE45B" w14:textId="77777777" w:rsidR="006D079F" w:rsidRDefault="00000000">
      <w:r>
        <w:t>The EU’s Common European Asylum System (CEAS) is the deepest multi-state asylum-coordination system globally, built on treaty-level commitments to refugee protection alongside Schengen and CEAS regulations. It has been under sustained stress since the 2015 refugee flows, with the New Pact on Migration and Asylum (2024) as the most recent reform attempt.</w:t>
      </w:r>
    </w:p>
    <w:p w14:paraId="290E34F3" w14:textId="77777777" w:rsidR="006D079F" w:rsidRDefault="00000000">
      <w:pPr>
        <w:pStyle w:val="BodyText"/>
      </w:pPr>
      <w:r>
        <w:rPr>
          <w:b/>
          <w:bCs/>
        </w:rPr>
        <w:t>Case: the agency’s data</w:t>
      </w:r>
    </w:p>
    <w:p w14:paraId="21122978" w14:textId="77777777" w:rsidR="006D079F" w:rsidRDefault="00000000">
      <w:pPr>
        <w:numPr>
          <w:ilvl w:val="0"/>
          <w:numId w:val="26"/>
        </w:numPr>
      </w:pPr>
      <w:r>
        <w:t>Foundational architecture: Treaty on the Functioning of the European Union Articles 78–80; Common European Asylum System (Dublin Regulation, Asylum Procedures Directive, Reception Conditions Directive, Qualification Directive, EURODAC Regulation).</w:t>
      </w:r>
    </w:p>
    <w:p w14:paraId="50CD963E" w14:textId="77777777" w:rsidR="006D079F" w:rsidRDefault="00000000">
      <w:pPr>
        <w:numPr>
          <w:ilvl w:val="0"/>
          <w:numId w:val="26"/>
        </w:numPr>
      </w:pPr>
      <w:r>
        <w:t>Asylum applications: ~1m applications in EU+ in 2023 (highest since 2015); top origin countries Syria, Afghanistan, Venezuela, Turkey, Colombia; top destination countries Germany, France, Spain, Italy.</w:t>
      </w:r>
    </w:p>
    <w:p w14:paraId="7A09A475" w14:textId="77777777" w:rsidR="006D079F" w:rsidRDefault="00000000">
      <w:pPr>
        <w:numPr>
          <w:ilvl w:val="0"/>
          <w:numId w:val="26"/>
        </w:numPr>
      </w:pPr>
      <w:r>
        <w:t>Dublin Regulation: country-of-first-entry rule; persistent secondary-movement challenge; reform attempts repeatedly stalled.</w:t>
      </w:r>
    </w:p>
    <w:p w14:paraId="5EF717D6" w14:textId="77777777" w:rsidR="006D079F" w:rsidRDefault="00000000">
      <w:pPr>
        <w:numPr>
          <w:ilvl w:val="0"/>
          <w:numId w:val="26"/>
        </w:numPr>
      </w:pPr>
      <w:r>
        <w:t>New Pact on Migration and Asylum (adopted 2024): solidarity mechanism (mandatory contributions: relocation, financial support, or operational support); accelerated border procedures; standardised screening; revised Dublin replacement.</w:t>
      </w:r>
    </w:p>
    <w:p w14:paraId="485A45FB" w14:textId="77777777" w:rsidR="006D079F" w:rsidRDefault="00000000">
      <w:pPr>
        <w:numPr>
          <w:ilvl w:val="0"/>
          <w:numId w:val="26"/>
        </w:numPr>
      </w:pPr>
      <w:r>
        <w:t>External-border externalisation: EU-Turkey deal (2016); EU-Tunisia memorandum (2023); EU-Egypt agreement (2024); Italy-Albania protocol (2024); operational EUTM and EUNAVFOR Med missions.</w:t>
      </w:r>
    </w:p>
    <w:p w14:paraId="4A3B94D6" w14:textId="77777777" w:rsidR="006D079F" w:rsidRDefault="00000000">
      <w:pPr>
        <w:numPr>
          <w:ilvl w:val="0"/>
          <w:numId w:val="26"/>
        </w:numPr>
      </w:pPr>
      <w:r>
        <w:lastRenderedPageBreak/>
        <w:t>Frontex agency: rapidly expanded standing corps; ongoing fundamental-rights monitoring concerns; coordinating role in border management.</w:t>
      </w:r>
    </w:p>
    <w:p w14:paraId="6AC9A9BC" w14:textId="77777777" w:rsidR="006D079F" w:rsidRDefault="00000000">
      <w:pPr>
        <w:numPr>
          <w:ilvl w:val="0"/>
          <w:numId w:val="26"/>
        </w:numPr>
      </w:pPr>
      <w:r>
        <w:t>Coalition dynamics: pro-asylum coalition includes refugee-protection NGOs, religious organisations, some progressive political parties, some labour-shortage-sector employers, some Mediterranean member-state governments seeking burden-sharing. Anti-asylum coalition includes populist-right parties (Italy, Hungary, Poland, Slovakia, Netherlands, Austria), segments of organised labour, cultural conservatives, some governments.</w:t>
      </w:r>
    </w:p>
    <w:p w14:paraId="558182E3" w14:textId="77777777" w:rsidR="006D079F" w:rsidRDefault="00000000">
      <w:pPr>
        <w:numPr>
          <w:ilvl w:val="0"/>
          <w:numId w:val="26"/>
        </w:numPr>
      </w:pPr>
      <w:r>
        <w:t>Recent context: 2024 New Pact implementation period through 2026; ongoing legal challenges; populist-right vote share affecting member-state positions.</w:t>
      </w:r>
    </w:p>
    <w:p w14:paraId="64872663" w14:textId="77777777" w:rsidR="006D079F" w:rsidRDefault="00000000">
      <w:pPr>
        <w:pStyle w:val="Heading3"/>
      </w:pPr>
      <w:bookmarkStart w:id="20" w:name="Xabfd89b0020d7dd201e80d11d06c98b246a20ef"/>
      <w:bookmarkEnd w:id="19"/>
      <w:r>
        <w:t>Discussion questions from the case pack</w:t>
      </w:r>
    </w:p>
    <w:p w14:paraId="2FD8A1B2" w14:textId="77777777" w:rsidR="006D079F" w:rsidRDefault="00000000">
      <w:pPr>
        <w:numPr>
          <w:ilvl w:val="0"/>
          <w:numId w:val="27"/>
        </w:numPr>
      </w:pPr>
      <w:r>
        <w:t>Apply Hollifield’s liberal paradox: how does the EU navigate the tension between treaty-level commitment and member-state political pressure?</w:t>
      </w:r>
    </w:p>
    <w:p w14:paraId="24BFFB90" w14:textId="77777777" w:rsidR="006D079F" w:rsidRDefault="00000000">
      <w:pPr>
        <w:numPr>
          <w:ilvl w:val="0"/>
          <w:numId w:val="27"/>
        </w:numPr>
      </w:pPr>
      <w:r>
        <w:t>Apply Freeman’s typology: asylum is regulatory policy at member-state level — how does EU coordination layer onto this?</w:t>
      </w:r>
    </w:p>
    <w:p w14:paraId="74228B3E" w14:textId="77777777" w:rsidR="006D079F" w:rsidRDefault="00000000">
      <w:pPr>
        <w:numPr>
          <w:ilvl w:val="0"/>
          <w:numId w:val="27"/>
        </w:numPr>
      </w:pPr>
      <w:r>
        <w:t>Identify coalitions.</w:t>
      </w:r>
    </w:p>
    <w:p w14:paraId="6C44B1BF" w14:textId="77777777" w:rsidR="006D079F" w:rsidRDefault="00000000">
      <w:pPr>
        <w:numPr>
          <w:ilvl w:val="0"/>
          <w:numId w:val="27"/>
        </w:numPr>
      </w:pPr>
      <w:r>
        <w:t>Reach a governance-trajectory verdict.</w:t>
      </w:r>
    </w:p>
    <w:p w14:paraId="2263DFB4" w14:textId="77777777" w:rsidR="006D079F" w:rsidRDefault="00000000">
      <w:pPr>
        <w:numPr>
          <w:ilvl w:val="0"/>
          <w:numId w:val="27"/>
        </w:numPr>
      </w:pPr>
      <w:r>
        <w:t>Compare to Australia OSB: different design responses to similar pressures — what specifically differs?</w:t>
      </w:r>
    </w:p>
    <w:p w14:paraId="6C89C4D8" w14:textId="77777777" w:rsidR="006D079F" w:rsidRDefault="00000000">
      <w:pPr>
        <w:numPr>
          <w:ilvl w:val="0"/>
          <w:numId w:val="27"/>
        </w:numPr>
      </w:pPr>
      <w:r>
        <w:t>Cross-transition reflection: how will climate-driven displacement (Lecture 9) compound CEAS pressures?</w:t>
      </w:r>
    </w:p>
    <w:p w14:paraId="7C51851B" w14:textId="77777777" w:rsidR="006D079F" w:rsidRDefault="00000000">
      <w:r>
        <w:br w:type="page"/>
      </w:r>
    </w:p>
    <w:p w14:paraId="472A1928" w14:textId="77777777" w:rsidR="00330B99" w:rsidRDefault="00330B99">
      <w:pPr>
        <w:pStyle w:val="Heading1"/>
      </w:pPr>
      <w:bookmarkStart w:id="21" w:name="Xaffa8d358c4a41c8d10badda2d8ece964ce7e13"/>
      <w:bookmarkEnd w:id="14"/>
      <w:bookmarkEnd w:id="15"/>
      <w:bookmarkEnd w:id="20"/>
    </w:p>
    <w:p w14:paraId="5A8B8FE7" w14:textId="77777777" w:rsidR="00330B99" w:rsidRDefault="00330B99">
      <w:pPr>
        <w:pStyle w:val="Heading1"/>
      </w:pPr>
    </w:p>
    <w:p w14:paraId="5BF87AF4" w14:textId="77777777" w:rsidR="00330B99" w:rsidRDefault="00330B99">
      <w:pPr>
        <w:pStyle w:val="Heading1"/>
      </w:pPr>
    </w:p>
    <w:p w14:paraId="0099851E" w14:textId="77777777" w:rsidR="00330B99" w:rsidRDefault="00330B99">
      <w:pPr>
        <w:pStyle w:val="Heading1"/>
      </w:pPr>
    </w:p>
    <w:p w14:paraId="08588D5D" w14:textId="77777777" w:rsidR="00330B99" w:rsidRDefault="00330B99">
      <w:pPr>
        <w:pStyle w:val="Heading1"/>
      </w:pPr>
    </w:p>
    <w:p w14:paraId="0763A5CA" w14:textId="77777777" w:rsidR="00330B99" w:rsidRDefault="00330B99">
      <w:pPr>
        <w:pStyle w:val="Heading1"/>
      </w:pPr>
    </w:p>
    <w:p w14:paraId="533D1361" w14:textId="77777777" w:rsidR="00330B99" w:rsidRDefault="00330B99">
      <w:pPr>
        <w:pStyle w:val="Heading1"/>
      </w:pPr>
    </w:p>
    <w:p w14:paraId="23791566" w14:textId="77777777" w:rsidR="00330B99" w:rsidRDefault="00330B99">
      <w:pPr>
        <w:pStyle w:val="Heading1"/>
      </w:pPr>
    </w:p>
    <w:p w14:paraId="05715A24" w14:textId="77777777" w:rsidR="00330B99" w:rsidRDefault="00330B99">
      <w:pPr>
        <w:pStyle w:val="Heading1"/>
      </w:pPr>
    </w:p>
    <w:p w14:paraId="3DE4222B" w14:textId="77777777" w:rsidR="00330B99" w:rsidRDefault="00330B99">
      <w:pPr>
        <w:pStyle w:val="Heading1"/>
      </w:pPr>
    </w:p>
    <w:p w14:paraId="3255E7B6" w14:textId="77777777" w:rsidR="00330B99" w:rsidRDefault="00330B99">
      <w:pPr>
        <w:pStyle w:val="Heading1"/>
      </w:pPr>
    </w:p>
    <w:p w14:paraId="365F360F" w14:textId="77777777" w:rsidR="00330B99" w:rsidRDefault="00330B99">
      <w:pPr>
        <w:pStyle w:val="Heading1"/>
      </w:pPr>
    </w:p>
    <w:p w14:paraId="6FB3488A" w14:textId="77777777" w:rsidR="00330B99" w:rsidRDefault="00330B99">
      <w:pPr>
        <w:pStyle w:val="Heading1"/>
      </w:pPr>
    </w:p>
    <w:p w14:paraId="3C6C0621" w14:textId="77777777" w:rsidR="00330B99" w:rsidRDefault="00330B99">
      <w:pPr>
        <w:pStyle w:val="Heading1"/>
      </w:pPr>
    </w:p>
    <w:p w14:paraId="4068A729" w14:textId="77777777" w:rsidR="00330B99" w:rsidRDefault="00330B99">
      <w:pPr>
        <w:pStyle w:val="Heading1"/>
      </w:pPr>
    </w:p>
    <w:p w14:paraId="5E6C59B6" w14:textId="1733FC74" w:rsidR="006D079F" w:rsidRDefault="00000000">
      <w:pPr>
        <w:pStyle w:val="Heading1"/>
      </w:pPr>
      <w:r>
        <w:lastRenderedPageBreak/>
        <w:t>Demographic and Migration Governance Cases — Worksheet</w:t>
      </w:r>
    </w:p>
    <w:p w14:paraId="7DBA9386" w14:textId="77777777" w:rsidR="006D079F" w:rsidRDefault="00000000">
      <w:pPr>
        <w:pStyle w:val="Heading2"/>
      </w:pPr>
      <w:bookmarkStart w:id="22" w:name="X7c851bed5383d9c49a40f651b760fe433f31467"/>
      <w:r>
        <w:t>Australia Operation Sovereign Borders (OSB) — Refugee/asylum governance under stress pair</w:t>
      </w:r>
    </w:p>
    <w:p w14:paraId="79BA77E8" w14:textId="77777777" w:rsidR="006D079F" w:rsidRDefault="00000000">
      <w:r>
        <w:rPr>
          <w:i/>
          <w:iCs/>
        </w:rPr>
        <w:t>IR227 Seminar 10 — Group worksheet</w:t>
      </w:r>
    </w:p>
    <w:p w14:paraId="019705C8" w14:textId="77777777" w:rsidR="006D079F" w:rsidRDefault="00000000">
      <w:pPr>
        <w:pStyle w:val="Heading3"/>
      </w:pPr>
      <w:bookmarkStart w:id="23" w:name="task-3"/>
      <w:r>
        <w:t>Task</w:t>
      </w:r>
    </w:p>
    <w:p w14:paraId="19C57EEF" w14:textId="77777777" w:rsidR="006D079F" w:rsidRDefault="00000000">
      <w:r>
        <w:t>Take your assigned demographic-or-migration governance case. Apply the relevant frameworks. Identify coalitions. Reach a verdict on governance trajectory. Then close with a brief cross-transition reflection: what does this case imply for climate (Lecture 9) or AI (Lecture 11)?</w:t>
      </w:r>
    </w:p>
    <w:p w14:paraId="48A34FEC" w14:textId="77777777" w:rsidR="006D079F" w:rsidRDefault="00000000">
      <w:pPr>
        <w:pStyle w:val="BodyText"/>
      </w:pPr>
      <w:r>
        <w:t>The analytical tools you will deploy are: Hollifield’s migration state and Freeman’s typology.</w:t>
      </w:r>
    </w:p>
    <w:p w14:paraId="3C3DDF72" w14:textId="77777777" w:rsidR="006D079F" w:rsidRDefault="00000000">
      <w:pPr>
        <w:pStyle w:val="Heading3"/>
      </w:pPr>
      <w:bookmarkStart w:id="24" w:name="requirements-3"/>
      <w:bookmarkEnd w:id="23"/>
      <w:r>
        <w:t>Requirements</w:t>
      </w:r>
    </w:p>
    <w:p w14:paraId="2CB1FE51" w14:textId="77777777" w:rsidR="006D079F" w:rsidRDefault="00000000">
      <w:pPr>
        <w:numPr>
          <w:ilvl w:val="0"/>
          <w:numId w:val="28"/>
        </w:numPr>
      </w:pPr>
      <w:r>
        <w:t>identify which frameworks apply to your case, with evidence,</w:t>
      </w:r>
    </w:p>
    <w:p w14:paraId="43764477" w14:textId="77777777" w:rsidR="006D079F" w:rsidRDefault="00000000">
      <w:pPr>
        <w:numPr>
          <w:ilvl w:val="0"/>
          <w:numId w:val="28"/>
        </w:numPr>
      </w:pPr>
      <w:r>
        <w:t>apply each: what does it predict for the case, and where does the prediction match the evidence,</w:t>
      </w:r>
    </w:p>
    <w:p w14:paraId="2B2D574F" w14:textId="77777777" w:rsidR="006D079F" w:rsidRDefault="00000000">
      <w:pPr>
        <w:numPr>
          <w:ilvl w:val="0"/>
          <w:numId w:val="28"/>
        </w:numPr>
      </w:pPr>
      <w:r>
        <w:t>identify coalitions, specifying actors and interests,</w:t>
      </w:r>
    </w:p>
    <w:p w14:paraId="057B2F85" w14:textId="77777777" w:rsidR="006D079F" w:rsidRDefault="00000000">
      <w:pPr>
        <w:numPr>
          <w:ilvl w:val="0"/>
          <w:numId w:val="28"/>
        </w:numPr>
      </w:pPr>
      <w:r>
        <w:t>reach a governance-trajectory verdict, and</w:t>
      </w:r>
    </w:p>
    <w:p w14:paraId="61DAAF2C" w14:textId="77777777" w:rsidR="006D079F" w:rsidRDefault="00000000">
      <w:pPr>
        <w:numPr>
          <w:ilvl w:val="0"/>
          <w:numId w:val="28"/>
        </w:numPr>
      </w:pPr>
      <w:r>
        <w:t>close with a specific cross-transition reflection: what does your case imply for climate (Lecture 9) or AI (Lecture 11)?</w:t>
      </w:r>
    </w:p>
    <w:p w14:paraId="1D7F0B1F" w14:textId="77777777" w:rsidR="006D079F" w:rsidRDefault="00000000">
      <w:r>
        <w:t>Note: these cases are deliberately under-determined. There is no single correct verdict — you will be assessed on the strength of the reasoning chain (framework application → coalition analysis → verdict → cross-transition reflection), not on which verdict you reach.</w:t>
      </w:r>
    </w:p>
    <w:p w14:paraId="2DDA5976" w14:textId="77777777" w:rsidR="006D079F" w:rsidRDefault="00000000">
      <w:pPr>
        <w:pStyle w:val="Heading3"/>
      </w:pPr>
      <w:bookmarkStart w:id="25" w:name="tool-summary-3"/>
      <w:bookmarkEnd w:id="24"/>
      <w:r>
        <w:t>Tool summary</w:t>
      </w:r>
    </w:p>
    <w:p w14:paraId="2CA6DC5C" w14:textId="77777777" w:rsidR="006D079F" w:rsidRDefault="00000000">
      <w:r>
        <w:rPr>
          <w:b/>
          <w:bCs/>
        </w:rPr>
        <w:t>Hollifield’s migration state (Hollifield 2004).</w:t>
      </w:r>
      <w:r>
        <w:t xml:space="preserve"> The 20th–21st centuries have seen the emergence of the migration state, in which regulating international migration sits alongside providing security and economic well-being as a core state function. Rights are the key instrument. The liberal paradox — economic openness pulling one way, political pressure pulling the other — is structural to every liberal democracy, not contingent on any one of them.</w:t>
      </w:r>
    </w:p>
    <w:p w14:paraId="18607CC2" w14:textId="77777777" w:rsidR="006D079F" w:rsidRDefault="00000000">
      <w:pPr>
        <w:numPr>
          <w:ilvl w:val="0"/>
          <w:numId w:val="29"/>
        </w:numPr>
      </w:pPr>
      <w:r>
        <w:rPr>
          <w:i/>
          <w:iCs/>
        </w:rPr>
        <w:t>How to apply it:</w:t>
      </w:r>
      <w:r>
        <w:t xml:space="preserve"> name (i) the actor(s) or institution(s) generating economic-integration pressure toward openness, (ii) the actor(s) generating security/political pressure toward closure, and (iii) which of the two is currently binding in your case. “There’s a tension” is not itself an answer — the analytical work is in naming the two sides concretely and describing the institutional design that navigates between them.</w:t>
      </w:r>
    </w:p>
    <w:p w14:paraId="489ECEF4" w14:textId="77777777" w:rsidR="006D079F" w:rsidRDefault="00000000">
      <w:pPr>
        <w:numPr>
          <w:ilvl w:val="0"/>
          <w:numId w:val="29"/>
        </w:numPr>
      </w:pPr>
      <w:r>
        <w:rPr>
          <w:i/>
          <w:iCs/>
        </w:rPr>
        <w:lastRenderedPageBreak/>
        <w:t>Scope check — read this one carefully for your case.</w:t>
      </w:r>
      <w:r>
        <w:t xml:space="preserve"> Hollifield’s own argument is about rights </w:t>
      </w:r>
      <w:r>
        <w:rPr>
          <w:i/>
          <w:iCs/>
        </w:rPr>
        <w:t>extension</w:t>
      </w:r>
      <w:r>
        <w:t xml:space="preserve"> to migrants, as part of economic integration. Reading OSB through a “rights as instrument” lens describes something Hollifield’s source does not itself theorise: OSB restricts rights (offshore processing, mandatory detention) as a deterrence design, rather than extending them as part of economic integration. If you invoke Hollifield’s vocabulary for this case, flag explicitly that you are extending his framework, not reporting his own finding.</w:t>
      </w:r>
    </w:p>
    <w:p w14:paraId="0F76547D" w14:textId="77777777" w:rsidR="006D079F" w:rsidRDefault="00000000">
      <w:r>
        <w:rPr>
          <w:b/>
          <w:bCs/>
        </w:rPr>
        <w:t>Freeman’s typology (Freeman 2006).</w:t>
      </w:r>
      <w:r>
        <w:t xml:space="preserve"> Each type of immigration policy produces a distinctive mode of politics.</w:t>
      </w:r>
    </w:p>
    <w:p w14:paraId="4993FDD3" w14:textId="77777777" w:rsidR="006D079F" w:rsidRDefault="00000000">
      <w:pPr>
        <w:numPr>
          <w:ilvl w:val="0"/>
          <w:numId w:val="30"/>
        </w:numPr>
      </w:pPr>
      <w:r>
        <w:t>Concentrated distributive — permanent-residence visas — client politics.</w:t>
      </w:r>
    </w:p>
    <w:p w14:paraId="4D7D6D41" w14:textId="77777777" w:rsidR="006D079F" w:rsidRDefault="00000000">
      <w:pPr>
        <w:numPr>
          <w:ilvl w:val="0"/>
          <w:numId w:val="30"/>
        </w:numPr>
      </w:pPr>
      <w:r>
        <w:t>Diffuse distributive — non-immigrant visas (tourism, study) — majoritarian politics.</w:t>
      </w:r>
    </w:p>
    <w:p w14:paraId="5FD53C24" w14:textId="77777777" w:rsidR="006D079F" w:rsidRDefault="00000000">
      <w:pPr>
        <w:numPr>
          <w:ilvl w:val="0"/>
          <w:numId w:val="30"/>
        </w:numPr>
      </w:pPr>
      <w:r>
        <w:t>Redistributive — non-immigrant work visas; welfare for immigrants — interest-group politics.</w:t>
      </w:r>
    </w:p>
    <w:p w14:paraId="12710FA4" w14:textId="77777777" w:rsidR="006D079F" w:rsidRDefault="00000000">
      <w:pPr>
        <w:numPr>
          <w:ilvl w:val="0"/>
          <w:numId w:val="30"/>
        </w:numPr>
      </w:pPr>
      <w:r>
        <w:t>Regulatory — asylum claims — entrepreneurial politics.</w:t>
      </w:r>
    </w:p>
    <w:p w14:paraId="1671C2E6" w14:textId="77777777" w:rsidR="006D079F" w:rsidRDefault="00000000">
      <w:pPr>
        <w:pStyle w:val="Heading3"/>
      </w:pPr>
      <w:bookmarkStart w:id="26" w:name="case-specifics-from-the-case-pack-3"/>
      <w:bookmarkEnd w:id="25"/>
      <w:r>
        <w:t>Case specifics (from the case pack)</w:t>
      </w:r>
    </w:p>
    <w:p w14:paraId="254EAD80" w14:textId="77777777" w:rsidR="006D079F" w:rsidRDefault="00000000">
      <w:r>
        <w:t>Australia’s Operation Sovereign Borders (OSB) is a worked example of a security-frame migration policy combined with offshore processing as a deliberate institutional design. It has had bipartisan political support since 2013, and its deterrence-by-design approach has been studied as a governance template by other states.</w:t>
      </w:r>
    </w:p>
    <w:p w14:paraId="5662C6F7" w14:textId="77777777" w:rsidR="006D079F" w:rsidRDefault="00000000">
      <w:pPr>
        <w:pStyle w:val="BodyText"/>
      </w:pPr>
      <w:r>
        <w:rPr>
          <w:b/>
          <w:bCs/>
        </w:rPr>
        <w:t>Case: the agency’s data</w:t>
      </w:r>
    </w:p>
    <w:p w14:paraId="2677C5CD" w14:textId="77777777" w:rsidR="006D079F" w:rsidRDefault="00000000">
      <w:pPr>
        <w:numPr>
          <w:ilvl w:val="0"/>
          <w:numId w:val="31"/>
        </w:numPr>
      </w:pPr>
      <w:r>
        <w:t>Operation Sovereign Borders (OSB): announced September 2013; military-led border-protection operation; “boat turnbacks” policy.</w:t>
      </w:r>
    </w:p>
    <w:p w14:paraId="5BEC1BAB" w14:textId="77777777" w:rsidR="006D079F" w:rsidRDefault="00000000">
      <w:pPr>
        <w:numPr>
          <w:ilvl w:val="0"/>
          <w:numId w:val="31"/>
        </w:numPr>
      </w:pPr>
      <w:r>
        <w:t>Offshore processing: Manus Island (PNG, closed 2017) and Nauru (continuing) as third-country processing locations; Papua New Guinea–Australia agreement; periodic legal and political challenges.</w:t>
      </w:r>
    </w:p>
    <w:p w14:paraId="0BEE52EE" w14:textId="77777777" w:rsidR="006D079F" w:rsidRDefault="00000000">
      <w:pPr>
        <w:numPr>
          <w:ilvl w:val="0"/>
          <w:numId w:val="31"/>
        </w:numPr>
      </w:pPr>
      <w:r>
        <w:t>Mandatory detention: long-standing policy of detaining unauthorised maritime arrivals; recent legal challenges (NZYQ v Minister 2023 ruled indefinite detention unconstitutional).</w:t>
      </w:r>
    </w:p>
    <w:p w14:paraId="50F025D7" w14:textId="77777777" w:rsidR="006D079F" w:rsidRDefault="00000000">
      <w:pPr>
        <w:numPr>
          <w:ilvl w:val="0"/>
          <w:numId w:val="31"/>
        </w:numPr>
      </w:pPr>
      <w:r>
        <w:t>Refugee admissions: separate humanitarian programme (~13,750 places annually) for resettlement of UNHCR-recognised refugees.</w:t>
      </w:r>
    </w:p>
    <w:p w14:paraId="27E8777B" w14:textId="77777777" w:rsidR="006D079F" w:rsidRDefault="00000000">
      <w:pPr>
        <w:numPr>
          <w:ilvl w:val="0"/>
          <w:numId w:val="31"/>
        </w:numPr>
      </w:pPr>
      <w:r>
        <w:t>Asylum processing on Australian soil: Temporary Protection Visa system (abolished 2008, reinstated 2014, now phasing out under Labor).</w:t>
      </w:r>
    </w:p>
    <w:p w14:paraId="1C3C8360" w14:textId="77777777" w:rsidR="006D079F" w:rsidRDefault="00000000">
      <w:pPr>
        <w:numPr>
          <w:ilvl w:val="0"/>
          <w:numId w:val="31"/>
        </w:numPr>
      </w:pPr>
      <w:r>
        <w:t>Bipartisan support: Liberal-National Coalition introduced OSB; Labor governments (2013–; 2022–) maintained core policy; some operational changes under Labor.</w:t>
      </w:r>
    </w:p>
    <w:p w14:paraId="5888BD9C" w14:textId="77777777" w:rsidR="006D079F" w:rsidRDefault="00000000">
      <w:pPr>
        <w:numPr>
          <w:ilvl w:val="0"/>
          <w:numId w:val="31"/>
        </w:numPr>
      </w:pPr>
      <w:r>
        <w:lastRenderedPageBreak/>
        <w:t>Coalition dynamics: pro-OSB coalition includes both major parties, security agencies, immigration bureaucracy, much of the public. Anti-OSB coalition includes refugee-protection NGOs, some religious organisations, progressive lawyer networks, sections of academia.</w:t>
      </w:r>
    </w:p>
    <w:p w14:paraId="10DEEB4F" w14:textId="77777777" w:rsidR="006D079F" w:rsidRDefault="00000000">
      <w:pPr>
        <w:numPr>
          <w:ilvl w:val="0"/>
          <w:numId w:val="31"/>
        </w:numPr>
      </w:pPr>
      <w:r>
        <w:t>Diffusion: UK Rwanda scheme attempts (2022–25, ultimately abandoned); Israel Rwanda/Uganda arrangement (closed 2018); EU external-border deals influenced by OSB logic.</w:t>
      </w:r>
    </w:p>
    <w:p w14:paraId="52F5DCD0" w14:textId="77777777" w:rsidR="006D079F" w:rsidRDefault="00000000">
      <w:pPr>
        <w:numPr>
          <w:ilvl w:val="0"/>
          <w:numId w:val="31"/>
        </w:numPr>
      </w:pPr>
      <w:r>
        <w:t>Recent context: 2024–25 ongoing legal challenges (NZYQ implementation); bipartisan continuity under the Albanese government with some operational changes.</w:t>
      </w:r>
    </w:p>
    <w:p w14:paraId="3D24EA5C" w14:textId="77777777" w:rsidR="006D079F" w:rsidRDefault="00000000">
      <w:pPr>
        <w:pStyle w:val="Heading3"/>
      </w:pPr>
      <w:bookmarkStart w:id="27" w:name="X3132ccfbd4a825aee823f86eb155173dcf9a708"/>
      <w:bookmarkEnd w:id="26"/>
      <w:r>
        <w:t>Discussion questions from the case pack</w:t>
      </w:r>
    </w:p>
    <w:p w14:paraId="4C3F9A3F" w14:textId="77777777" w:rsidR="006D079F" w:rsidRDefault="00000000">
      <w:pPr>
        <w:numPr>
          <w:ilvl w:val="0"/>
          <w:numId w:val="32"/>
        </w:numPr>
      </w:pPr>
      <w:r>
        <w:t>Apply Hollifield’s migration-state framework, using the scope check above.</w:t>
      </w:r>
    </w:p>
    <w:p w14:paraId="3F0D4006" w14:textId="77777777" w:rsidR="006D079F" w:rsidRDefault="00000000">
      <w:pPr>
        <w:numPr>
          <w:ilvl w:val="0"/>
          <w:numId w:val="32"/>
        </w:numPr>
      </w:pPr>
      <w:r>
        <w:t>Apply Freeman’s typology: asylum is regulatory in Freeman’s 2006 schema (entrepreneurial politics, with concentrated costs absorbed by the state and diffuse benefits to claimants) — how does OSB push the regulatory category toward extreme deterrence design?</w:t>
      </w:r>
    </w:p>
    <w:p w14:paraId="7A5DF78C" w14:textId="77777777" w:rsidR="006D079F" w:rsidRDefault="00000000">
      <w:pPr>
        <w:numPr>
          <w:ilvl w:val="0"/>
          <w:numId w:val="32"/>
        </w:numPr>
      </w:pPr>
      <w:r>
        <w:t>Identify coalitions, noting the bipartisan structure.</w:t>
      </w:r>
    </w:p>
    <w:p w14:paraId="01EEC01B" w14:textId="77777777" w:rsidR="006D079F" w:rsidRDefault="00000000">
      <w:pPr>
        <w:numPr>
          <w:ilvl w:val="0"/>
          <w:numId w:val="32"/>
        </w:numPr>
      </w:pPr>
      <w:r>
        <w:t>Reach a governance-trajectory verdict.</w:t>
      </w:r>
    </w:p>
    <w:p w14:paraId="3F4C843B" w14:textId="77777777" w:rsidR="006D079F" w:rsidRDefault="00000000">
      <w:pPr>
        <w:numPr>
          <w:ilvl w:val="0"/>
          <w:numId w:val="32"/>
        </w:numPr>
      </w:pPr>
      <w:r>
        <w:t>Compare to EU CEAS: different design responses to similar pressures — what specifically differs?</w:t>
      </w:r>
    </w:p>
    <w:p w14:paraId="75799CA8" w14:textId="77777777" w:rsidR="006D079F" w:rsidRDefault="00000000">
      <w:pPr>
        <w:numPr>
          <w:ilvl w:val="0"/>
          <w:numId w:val="32"/>
        </w:numPr>
      </w:pPr>
      <w:r>
        <w:t>Cross-transition reflection: OSB has been studied as a template by other states — what does the diffusion logic resemble (the Brussels effect, Lecture 8)?</w:t>
      </w:r>
    </w:p>
    <w:p w14:paraId="557BC5FA" w14:textId="77777777" w:rsidR="006D079F" w:rsidRDefault="00000000">
      <w:r>
        <w:br w:type="page"/>
      </w:r>
    </w:p>
    <w:p w14:paraId="3289B3D7" w14:textId="77777777" w:rsidR="00330B99" w:rsidRDefault="00330B99">
      <w:pPr>
        <w:pStyle w:val="Heading1"/>
      </w:pPr>
      <w:bookmarkStart w:id="28" w:name="X1713d1b3b51fcc685dd7e14999f8898a3afaf23"/>
      <w:bookmarkEnd w:id="21"/>
      <w:bookmarkEnd w:id="22"/>
      <w:bookmarkEnd w:id="27"/>
    </w:p>
    <w:p w14:paraId="0C051400" w14:textId="77777777" w:rsidR="00330B99" w:rsidRDefault="00330B99">
      <w:pPr>
        <w:pStyle w:val="Heading1"/>
      </w:pPr>
    </w:p>
    <w:p w14:paraId="6C70BC1A" w14:textId="77777777" w:rsidR="00330B99" w:rsidRDefault="00330B99">
      <w:pPr>
        <w:pStyle w:val="Heading1"/>
      </w:pPr>
    </w:p>
    <w:p w14:paraId="14FE25FC" w14:textId="77777777" w:rsidR="00330B99" w:rsidRDefault="00330B99">
      <w:pPr>
        <w:pStyle w:val="Heading1"/>
      </w:pPr>
    </w:p>
    <w:p w14:paraId="322B1CE1" w14:textId="77777777" w:rsidR="00330B99" w:rsidRDefault="00330B99">
      <w:pPr>
        <w:pStyle w:val="Heading1"/>
      </w:pPr>
    </w:p>
    <w:p w14:paraId="7D558840" w14:textId="77777777" w:rsidR="00330B99" w:rsidRDefault="00330B99">
      <w:pPr>
        <w:pStyle w:val="Heading1"/>
      </w:pPr>
    </w:p>
    <w:p w14:paraId="4EEE7DAF" w14:textId="77777777" w:rsidR="00330B99" w:rsidRDefault="00330B99">
      <w:pPr>
        <w:pStyle w:val="Heading1"/>
      </w:pPr>
    </w:p>
    <w:p w14:paraId="15F145EE" w14:textId="77777777" w:rsidR="00330B99" w:rsidRDefault="00330B99">
      <w:pPr>
        <w:pStyle w:val="Heading1"/>
      </w:pPr>
    </w:p>
    <w:p w14:paraId="7FFC12D4" w14:textId="77777777" w:rsidR="00330B99" w:rsidRDefault="00330B99">
      <w:pPr>
        <w:pStyle w:val="Heading1"/>
      </w:pPr>
    </w:p>
    <w:p w14:paraId="23C8094C" w14:textId="77777777" w:rsidR="00330B99" w:rsidRDefault="00330B99">
      <w:pPr>
        <w:pStyle w:val="Heading1"/>
      </w:pPr>
    </w:p>
    <w:p w14:paraId="06920B47" w14:textId="77777777" w:rsidR="00330B99" w:rsidRDefault="00330B99">
      <w:pPr>
        <w:pStyle w:val="Heading1"/>
      </w:pPr>
    </w:p>
    <w:p w14:paraId="17CCD7AF" w14:textId="77777777" w:rsidR="00330B99" w:rsidRDefault="00330B99">
      <w:pPr>
        <w:pStyle w:val="Heading1"/>
      </w:pPr>
    </w:p>
    <w:p w14:paraId="1349C863" w14:textId="77777777" w:rsidR="00330B99" w:rsidRDefault="00330B99">
      <w:pPr>
        <w:pStyle w:val="Heading1"/>
      </w:pPr>
    </w:p>
    <w:p w14:paraId="63D34223" w14:textId="77777777" w:rsidR="00330B99" w:rsidRDefault="00330B99">
      <w:pPr>
        <w:pStyle w:val="Heading1"/>
      </w:pPr>
    </w:p>
    <w:p w14:paraId="3B640F24" w14:textId="77777777" w:rsidR="00330B99" w:rsidRDefault="00330B99">
      <w:pPr>
        <w:pStyle w:val="Heading1"/>
      </w:pPr>
    </w:p>
    <w:p w14:paraId="0866E5DC" w14:textId="3A9D30C0" w:rsidR="006D079F" w:rsidRDefault="00000000">
      <w:pPr>
        <w:pStyle w:val="Heading1"/>
      </w:pPr>
      <w:r>
        <w:lastRenderedPageBreak/>
        <w:t>Demographic and Migration Governance Cases — Worksheet</w:t>
      </w:r>
    </w:p>
    <w:p w14:paraId="6E8CDAD2" w14:textId="77777777" w:rsidR="006D079F" w:rsidRDefault="00000000">
      <w:pPr>
        <w:pStyle w:val="Heading2"/>
      </w:pPr>
      <w:bookmarkStart w:id="29" w:name="X5277a2bde254726ce061ef412709514bba7926a"/>
      <w:r>
        <w:t>Gulf Cooperation Council kafala system — Labour migration governance pair</w:t>
      </w:r>
    </w:p>
    <w:p w14:paraId="2CB3A972" w14:textId="77777777" w:rsidR="006D079F" w:rsidRDefault="00000000">
      <w:r>
        <w:rPr>
          <w:i/>
          <w:iCs/>
        </w:rPr>
        <w:t>IR227 Seminar 10 — Group worksheet</w:t>
      </w:r>
    </w:p>
    <w:p w14:paraId="03783756" w14:textId="77777777" w:rsidR="006D079F" w:rsidRDefault="00000000">
      <w:pPr>
        <w:pStyle w:val="Heading3"/>
      </w:pPr>
      <w:bookmarkStart w:id="30" w:name="task-4"/>
      <w:r>
        <w:t>Task</w:t>
      </w:r>
    </w:p>
    <w:p w14:paraId="35EF8535" w14:textId="77777777" w:rsidR="006D079F" w:rsidRDefault="00000000">
      <w:r>
        <w:t>Take your assigned demographic-or-migration governance case. Apply the relevant frameworks. Identify coalitions. Reach a verdict on governance trajectory. Then close with a brief cross-transition reflection: what does this case imply for climate (Lecture 9) or AI (Lecture 11)?</w:t>
      </w:r>
    </w:p>
    <w:p w14:paraId="40D6071D" w14:textId="77777777" w:rsidR="006D079F" w:rsidRDefault="00000000">
      <w:pPr>
        <w:pStyle w:val="BodyText"/>
      </w:pPr>
      <w:r>
        <w:t>The analytical tools you will deploy are: Hollifield’s migration state and Freeman’s typology (applied with care — see the fit note below).</w:t>
      </w:r>
    </w:p>
    <w:p w14:paraId="6DDBBA99" w14:textId="77777777" w:rsidR="006D079F" w:rsidRDefault="00000000">
      <w:pPr>
        <w:pStyle w:val="Heading3"/>
      </w:pPr>
      <w:bookmarkStart w:id="31" w:name="requirements-4"/>
      <w:bookmarkEnd w:id="30"/>
      <w:r>
        <w:t>Requirements</w:t>
      </w:r>
    </w:p>
    <w:p w14:paraId="21928256" w14:textId="77777777" w:rsidR="006D079F" w:rsidRDefault="00000000">
      <w:pPr>
        <w:numPr>
          <w:ilvl w:val="0"/>
          <w:numId w:val="33"/>
        </w:numPr>
      </w:pPr>
      <w:r>
        <w:t>identify which frameworks apply to your case, with evidence,</w:t>
      </w:r>
    </w:p>
    <w:p w14:paraId="0C9ECF5F" w14:textId="77777777" w:rsidR="006D079F" w:rsidRDefault="00000000">
      <w:pPr>
        <w:numPr>
          <w:ilvl w:val="0"/>
          <w:numId w:val="33"/>
        </w:numPr>
      </w:pPr>
      <w:r>
        <w:t>apply each: what does it predict for the case, and where does the prediction match the evidence,</w:t>
      </w:r>
    </w:p>
    <w:p w14:paraId="438636D8" w14:textId="77777777" w:rsidR="006D079F" w:rsidRDefault="00000000">
      <w:pPr>
        <w:numPr>
          <w:ilvl w:val="0"/>
          <w:numId w:val="33"/>
        </w:numPr>
      </w:pPr>
      <w:r>
        <w:t>identify coalitions, specifying actors and interests,</w:t>
      </w:r>
    </w:p>
    <w:p w14:paraId="0EF2D350" w14:textId="77777777" w:rsidR="006D079F" w:rsidRDefault="00000000">
      <w:pPr>
        <w:numPr>
          <w:ilvl w:val="0"/>
          <w:numId w:val="33"/>
        </w:numPr>
      </w:pPr>
      <w:r>
        <w:t>reach a governance-trajectory verdict, and</w:t>
      </w:r>
    </w:p>
    <w:p w14:paraId="14A16B8C" w14:textId="77777777" w:rsidR="006D079F" w:rsidRDefault="00000000">
      <w:pPr>
        <w:numPr>
          <w:ilvl w:val="0"/>
          <w:numId w:val="33"/>
        </w:numPr>
      </w:pPr>
      <w:r>
        <w:t>close with a specific cross-transition reflection: what does your case imply for climate (Lecture 9) or AI (Lecture 11)?</w:t>
      </w:r>
    </w:p>
    <w:p w14:paraId="0FA79847" w14:textId="77777777" w:rsidR="006D079F" w:rsidRDefault="00000000">
      <w:r>
        <w:t>Note: these cases are deliberately under-determined. There is no single correct verdict — you will be assessed on the strength of the reasoning chain (framework application → coalition analysis → verdict → cross-transition reflection), not on which verdict you reach.</w:t>
      </w:r>
    </w:p>
    <w:p w14:paraId="2B899B09" w14:textId="77777777" w:rsidR="006D079F" w:rsidRDefault="00000000">
      <w:pPr>
        <w:pStyle w:val="Heading3"/>
      </w:pPr>
      <w:bookmarkStart w:id="32" w:name="tool-summary-4"/>
      <w:bookmarkEnd w:id="31"/>
      <w:r>
        <w:t>Tool summary</w:t>
      </w:r>
    </w:p>
    <w:p w14:paraId="590D676F" w14:textId="77777777" w:rsidR="006D079F" w:rsidRDefault="00000000">
      <w:r>
        <w:rPr>
          <w:b/>
          <w:bCs/>
        </w:rPr>
        <w:t>Hollifield’s migration state (Hollifield 2004).</w:t>
      </w:r>
      <w:r>
        <w:t xml:space="preserve"> The 20th–21st centuries have seen the emergence of the migration state, in which regulating international migration sits alongside providing security and economic well-being as a core state function. Rights are the key instrument. The liberal paradox — economic openness pulling one way, political pressure pulling the other — is structural to every liberal democracy, not contingent on any one of them.</w:t>
      </w:r>
    </w:p>
    <w:p w14:paraId="7245EBE2" w14:textId="77777777" w:rsidR="006D079F" w:rsidRDefault="00000000">
      <w:pPr>
        <w:numPr>
          <w:ilvl w:val="0"/>
          <w:numId w:val="34"/>
        </w:numPr>
      </w:pPr>
      <w:r>
        <w:rPr>
          <w:i/>
          <w:iCs/>
        </w:rPr>
        <w:t>How to apply it here:</w:t>
      </w:r>
      <w:r>
        <w:t xml:space="preserve"> the GCC states are not liberal democracies, so don’t expect the paradox to show up as party politics. Instead, name what rights extension (or its absence) looks like structurally: is residence and work authorisation tied to a specific employer, or is it a more general state-citizen relationship? Name which actor(s) benefit from keeping rights employer-tied, and which actor(s) are pressing for change.</w:t>
      </w:r>
    </w:p>
    <w:p w14:paraId="7F771FC7" w14:textId="77777777" w:rsidR="006D079F" w:rsidRDefault="00000000">
      <w:pPr>
        <w:numPr>
          <w:ilvl w:val="0"/>
          <w:numId w:val="34"/>
        </w:numPr>
      </w:pPr>
      <w:r>
        <w:rPr>
          <w:i/>
          <w:iCs/>
        </w:rPr>
        <w:lastRenderedPageBreak/>
        <w:t>Scope check:</w:t>
      </w:r>
      <w:r>
        <w:t xml:space="preserve"> Hollifield’s own argument is about rights </w:t>
      </w:r>
      <w:r>
        <w:rPr>
          <w:i/>
          <w:iCs/>
        </w:rPr>
        <w:t>extension</w:t>
      </w:r>
      <w:r>
        <w:t xml:space="preserve"> to migrants, as part of economic integration, in a liberal-democratic context. The GCC case tests the framework’s limits directly — rights extension is constrained, not expanding, even as economic dependence on migrant labour is total. Say explicitly where the framework travels and where it doesn’t.</w:t>
      </w:r>
    </w:p>
    <w:p w14:paraId="180B1E0A" w14:textId="77777777" w:rsidR="006D079F" w:rsidRDefault="00000000">
      <w:r>
        <w:rPr>
          <w:b/>
          <w:bCs/>
        </w:rPr>
        <w:t>Freeman’s typology (Freeman 2006) — fit note.</w:t>
      </w:r>
      <w:r>
        <w:t xml:space="preserve"> Each type of immigration policy produces a distinctive mode of politics in the liberal-democratic contexts Freeman built the typology from.</w:t>
      </w:r>
    </w:p>
    <w:p w14:paraId="7D8C2C23" w14:textId="77777777" w:rsidR="006D079F" w:rsidRDefault="00000000">
      <w:pPr>
        <w:numPr>
          <w:ilvl w:val="0"/>
          <w:numId w:val="35"/>
        </w:numPr>
      </w:pPr>
      <w:r>
        <w:t>Concentrated distributive — permanent-residence visas — client politics.</w:t>
      </w:r>
    </w:p>
    <w:p w14:paraId="05863800" w14:textId="77777777" w:rsidR="006D079F" w:rsidRDefault="00000000">
      <w:pPr>
        <w:numPr>
          <w:ilvl w:val="0"/>
          <w:numId w:val="35"/>
        </w:numPr>
      </w:pPr>
      <w:r>
        <w:t>Diffuse distributive — non-immigrant visas (tourism, study) — majoritarian politics.</w:t>
      </w:r>
    </w:p>
    <w:p w14:paraId="091F0017" w14:textId="77777777" w:rsidR="006D079F" w:rsidRDefault="00000000">
      <w:pPr>
        <w:numPr>
          <w:ilvl w:val="0"/>
          <w:numId w:val="35"/>
        </w:numPr>
      </w:pPr>
      <w:r>
        <w:t>Redistributive — non-immigrant work visas; welfare for immigrants — interest-group politics.</w:t>
      </w:r>
    </w:p>
    <w:p w14:paraId="05532CA7" w14:textId="77777777" w:rsidR="006D079F" w:rsidRDefault="00000000">
      <w:pPr>
        <w:numPr>
          <w:ilvl w:val="0"/>
          <w:numId w:val="35"/>
        </w:numPr>
      </w:pPr>
      <w:r>
        <w:t>Regulatory — asylum claims — entrepreneurial politics.</w:t>
      </w:r>
    </w:p>
    <w:p w14:paraId="62E4C248" w14:textId="77777777" w:rsidR="006D079F" w:rsidRDefault="00000000">
      <w:pPr>
        <w:numPr>
          <w:ilvl w:val="0"/>
          <w:numId w:val="35"/>
        </w:numPr>
      </w:pPr>
      <w:r>
        <w:t>Freeman’s typology was developed for liberal democracies and applies imperfectly here: GCC labour migration is built on non-immigrant work visas, which would be redistributive (interest-group politics) in Freeman’s schema — but in the GCC that redistributive politics is dominated by concentrated employer interests and state recruitment agencies, not the broader NGO/labour coalitions Freeman describes. Permanent residence is essentially nonexistent.</w:t>
      </w:r>
    </w:p>
    <w:p w14:paraId="7CFE2629" w14:textId="77777777" w:rsidR="006D079F" w:rsidRDefault="00000000">
      <w:pPr>
        <w:pStyle w:val="Heading3"/>
      </w:pPr>
      <w:bookmarkStart w:id="33" w:name="case-specifics-from-the-case-pack-4"/>
      <w:bookmarkEnd w:id="32"/>
      <w:r>
        <w:t>Case specifics (from the case pack)</w:t>
      </w:r>
    </w:p>
    <w:p w14:paraId="3D0AE336" w14:textId="77777777" w:rsidR="006D079F" w:rsidRDefault="00000000">
      <w:r>
        <w:t>The GCC kafala system is the largest functioning labour-migration system globally outside the OECD. Demographic dependence on the migrant workforce is structural, and reforms — while real — have been incremental over 2018–2025.</w:t>
      </w:r>
    </w:p>
    <w:p w14:paraId="65BB733E" w14:textId="77777777" w:rsidR="006D079F" w:rsidRDefault="00000000">
      <w:pPr>
        <w:pStyle w:val="BodyText"/>
      </w:pPr>
      <w:r>
        <w:rPr>
          <w:b/>
          <w:bCs/>
        </w:rPr>
        <w:t>Case: the agency’s data</w:t>
      </w:r>
    </w:p>
    <w:p w14:paraId="63410F8D" w14:textId="77777777" w:rsidR="006D079F" w:rsidRDefault="00000000">
      <w:pPr>
        <w:numPr>
          <w:ilvl w:val="0"/>
          <w:numId w:val="36"/>
        </w:numPr>
      </w:pPr>
      <w:r>
        <w:t>GCC member states: Saudi Arabia, UAE, Qatar, Kuwait, Bahrain, Oman.</w:t>
      </w:r>
    </w:p>
    <w:p w14:paraId="51FE81FE" w14:textId="77777777" w:rsidR="006D079F" w:rsidRDefault="00000000">
      <w:pPr>
        <w:numPr>
          <w:ilvl w:val="0"/>
          <w:numId w:val="36"/>
        </w:numPr>
      </w:pPr>
      <w:r>
        <w:t>Migrant share of workforce: UAE &gt;88%, Qatar &gt;88%, Kuwait &gt;80%, Bahrain ~80%, Saudi Arabia ~45%, Oman ~45%.</w:t>
      </w:r>
    </w:p>
    <w:p w14:paraId="2BCDCB16" w14:textId="77777777" w:rsidR="006D079F" w:rsidRDefault="00000000">
      <w:pPr>
        <w:numPr>
          <w:ilvl w:val="0"/>
          <w:numId w:val="36"/>
        </w:numPr>
      </w:pPr>
      <w:r>
        <w:t>Migrant origin: South and Southeast Asia (India, Bangladesh, Pakistan, Philippines, Indonesia, Sri Lanka), East Africa (Egypt, Kenya, Ethiopia), increasingly Central Asia.</w:t>
      </w:r>
    </w:p>
    <w:p w14:paraId="10F4CE5B" w14:textId="77777777" w:rsidR="006D079F" w:rsidRDefault="00000000">
      <w:pPr>
        <w:numPr>
          <w:ilvl w:val="0"/>
          <w:numId w:val="36"/>
        </w:numPr>
      </w:pPr>
      <w:r>
        <w:t>Foundational institution: kafala (sponsorship) system tying migrant residence and work authorisation to a specific employer.</w:t>
      </w:r>
    </w:p>
    <w:p w14:paraId="1A9D37DA" w14:textId="77777777" w:rsidR="006D079F" w:rsidRDefault="00000000">
      <w:pPr>
        <w:numPr>
          <w:ilvl w:val="0"/>
          <w:numId w:val="36"/>
        </w:numPr>
      </w:pPr>
      <w:r>
        <w:t xml:space="preserve">Recent reforms: UAE 2018 abolished formal sponsorship; Saudi Arabia 2021 Labor Reform Initiative allowed job mobility under conditions; Qatar 2020 minimum wage </w:t>
      </w:r>
      <w:r>
        <w:lastRenderedPageBreak/>
        <w:t>and exit-permit removal (FIFA-2022-driven); Kuwait Domestic Workers Law 2015 and subsequent regulations.</w:t>
      </w:r>
    </w:p>
    <w:p w14:paraId="1C7461EA" w14:textId="77777777" w:rsidR="006D079F" w:rsidRDefault="00000000">
      <w:pPr>
        <w:numPr>
          <w:ilvl w:val="0"/>
          <w:numId w:val="36"/>
        </w:numPr>
      </w:pPr>
      <w:r>
        <w:t>ILO involvement: Domestic Workers Convention (C189) ratifications uneven; technical assistance programmes; periodic critical reports.</w:t>
      </w:r>
    </w:p>
    <w:p w14:paraId="37DD1EEE" w14:textId="77777777" w:rsidR="006D079F" w:rsidRDefault="00000000">
      <w:pPr>
        <w:numPr>
          <w:ilvl w:val="0"/>
          <w:numId w:val="36"/>
        </w:numPr>
      </w:pPr>
      <w:r>
        <w:t>Coalition dynamics: pro-kafala coalition includes employers (especially construction, hospitality, domestic-service), state recruitment agencies, traditional state actors. Reform-pressing coalition includes ILO, international human-rights organisations, some sending-country governments, some progressive economic-policy elites within Gulf states.</w:t>
      </w:r>
    </w:p>
    <w:p w14:paraId="38F870E5" w14:textId="77777777" w:rsidR="006D079F" w:rsidRDefault="00000000">
      <w:pPr>
        <w:numPr>
          <w:ilvl w:val="0"/>
          <w:numId w:val="36"/>
        </w:numPr>
      </w:pPr>
      <w:r>
        <w:t>Implementation gap: reform announcements often outpace implementation; enforcement varies by state and sector.</w:t>
      </w:r>
    </w:p>
    <w:p w14:paraId="2E0FD244" w14:textId="77777777" w:rsidR="006D079F" w:rsidRDefault="00000000">
      <w:pPr>
        <w:numPr>
          <w:ilvl w:val="0"/>
          <w:numId w:val="36"/>
        </w:numPr>
      </w:pPr>
      <w:r>
        <w:t>Recent context: 2024–25 economic-diversification initiatives (Vision 2030 in Saudi Arabia, UAE various plans) intensifying labour-market reform discussions; ongoing tensions between economic-modernisation pressures and traditional employer-control structures.</w:t>
      </w:r>
    </w:p>
    <w:p w14:paraId="300242B6" w14:textId="77777777" w:rsidR="006D079F" w:rsidRDefault="00000000">
      <w:pPr>
        <w:pStyle w:val="Heading3"/>
      </w:pPr>
      <w:bookmarkStart w:id="34" w:name="X387aa0d96432d7cba40b082af2f4743f5cc1d68"/>
      <w:bookmarkEnd w:id="33"/>
      <w:r>
        <w:t>Discussion questions from the case pack</w:t>
      </w:r>
    </w:p>
    <w:p w14:paraId="61C608F2" w14:textId="77777777" w:rsidR="006D079F" w:rsidRDefault="00000000">
      <w:pPr>
        <w:numPr>
          <w:ilvl w:val="0"/>
          <w:numId w:val="37"/>
        </w:numPr>
      </w:pPr>
      <w:r>
        <w:t>Apply Hollifield’s migration state to the GCC, using the how-to-apply and scope-check notes above.</w:t>
      </w:r>
    </w:p>
    <w:p w14:paraId="05521B09" w14:textId="77777777" w:rsidR="006D079F" w:rsidRDefault="00000000">
      <w:pPr>
        <w:numPr>
          <w:ilvl w:val="0"/>
          <w:numId w:val="37"/>
        </w:numPr>
      </w:pPr>
      <w:r>
        <w:t>Identify coalitions and reform pressures.</w:t>
      </w:r>
    </w:p>
    <w:p w14:paraId="39E3EA0F" w14:textId="77777777" w:rsidR="006D079F" w:rsidRDefault="00000000">
      <w:pPr>
        <w:numPr>
          <w:ilvl w:val="0"/>
          <w:numId w:val="37"/>
        </w:numPr>
      </w:pPr>
      <w:r>
        <w:t>Reach a governance-trajectory verdict.</w:t>
      </w:r>
    </w:p>
    <w:p w14:paraId="7797075B" w14:textId="77777777" w:rsidR="006D079F" w:rsidRDefault="00000000">
      <w:pPr>
        <w:numPr>
          <w:ilvl w:val="0"/>
          <w:numId w:val="37"/>
        </w:numPr>
      </w:pPr>
      <w:r>
        <w:t>Compare to ASEAN: different non-OECD migration designs — what specifically differs?</w:t>
      </w:r>
    </w:p>
    <w:p w14:paraId="780219F4" w14:textId="77777777" w:rsidR="006D079F" w:rsidRDefault="00000000">
      <w:pPr>
        <w:numPr>
          <w:ilvl w:val="0"/>
          <w:numId w:val="37"/>
        </w:numPr>
      </w:pPr>
      <w:r>
        <w:t>Cross-transition reflection: how will climate-driven displacement and AI/automation reshape GCC labour-migration demand?</w:t>
      </w:r>
    </w:p>
    <w:p w14:paraId="03AA9510" w14:textId="77777777" w:rsidR="006D079F" w:rsidRDefault="00000000">
      <w:r>
        <w:br w:type="page"/>
      </w:r>
    </w:p>
    <w:p w14:paraId="43F80D2F" w14:textId="77777777" w:rsidR="00A02940" w:rsidRDefault="00A02940">
      <w:pPr>
        <w:pStyle w:val="Heading1"/>
      </w:pPr>
      <w:bookmarkStart w:id="35" w:name="X2b706c41d17c96fbdb948b05eb72f16fc9f6b91"/>
      <w:bookmarkEnd w:id="28"/>
      <w:bookmarkEnd w:id="29"/>
      <w:bookmarkEnd w:id="34"/>
    </w:p>
    <w:p w14:paraId="17ED6810" w14:textId="77777777" w:rsidR="00A02940" w:rsidRDefault="00A02940">
      <w:pPr>
        <w:pStyle w:val="Heading1"/>
      </w:pPr>
    </w:p>
    <w:p w14:paraId="545BE6D9" w14:textId="77777777" w:rsidR="00A02940" w:rsidRDefault="00A02940">
      <w:pPr>
        <w:pStyle w:val="Heading1"/>
      </w:pPr>
    </w:p>
    <w:p w14:paraId="65E75004" w14:textId="77777777" w:rsidR="00A02940" w:rsidRDefault="00A02940">
      <w:pPr>
        <w:pStyle w:val="Heading1"/>
      </w:pPr>
    </w:p>
    <w:p w14:paraId="69E54172" w14:textId="77777777" w:rsidR="00A02940" w:rsidRDefault="00A02940">
      <w:pPr>
        <w:pStyle w:val="Heading1"/>
      </w:pPr>
    </w:p>
    <w:p w14:paraId="4F6CBD3F" w14:textId="77777777" w:rsidR="00A02940" w:rsidRDefault="00A02940">
      <w:pPr>
        <w:pStyle w:val="Heading1"/>
      </w:pPr>
    </w:p>
    <w:p w14:paraId="66B1490D" w14:textId="77777777" w:rsidR="00A02940" w:rsidRDefault="00A02940">
      <w:pPr>
        <w:pStyle w:val="Heading1"/>
      </w:pPr>
    </w:p>
    <w:p w14:paraId="225C93E0" w14:textId="77777777" w:rsidR="00A02940" w:rsidRDefault="00A02940">
      <w:pPr>
        <w:pStyle w:val="Heading1"/>
      </w:pPr>
    </w:p>
    <w:p w14:paraId="5C8C365C" w14:textId="77777777" w:rsidR="00A02940" w:rsidRDefault="00A02940">
      <w:pPr>
        <w:pStyle w:val="Heading1"/>
      </w:pPr>
    </w:p>
    <w:p w14:paraId="64B8C1A9" w14:textId="77777777" w:rsidR="00A02940" w:rsidRDefault="00A02940">
      <w:pPr>
        <w:pStyle w:val="Heading1"/>
      </w:pPr>
    </w:p>
    <w:p w14:paraId="1D3FF0B2" w14:textId="77777777" w:rsidR="00A02940" w:rsidRDefault="00A02940">
      <w:pPr>
        <w:pStyle w:val="Heading1"/>
      </w:pPr>
    </w:p>
    <w:p w14:paraId="0DFD6FFE" w14:textId="77777777" w:rsidR="00A02940" w:rsidRDefault="00A02940">
      <w:pPr>
        <w:pStyle w:val="Heading1"/>
      </w:pPr>
    </w:p>
    <w:p w14:paraId="6DF44FFD" w14:textId="77777777" w:rsidR="00A02940" w:rsidRDefault="00A02940">
      <w:pPr>
        <w:pStyle w:val="Heading1"/>
      </w:pPr>
    </w:p>
    <w:p w14:paraId="2C6ED5F1" w14:textId="77777777" w:rsidR="00A02940" w:rsidRDefault="00A02940">
      <w:pPr>
        <w:pStyle w:val="Heading1"/>
      </w:pPr>
    </w:p>
    <w:p w14:paraId="619968B7" w14:textId="77777777" w:rsidR="00A02940" w:rsidRDefault="00A02940">
      <w:pPr>
        <w:pStyle w:val="Heading1"/>
      </w:pPr>
    </w:p>
    <w:p w14:paraId="42253E2F" w14:textId="331256D1" w:rsidR="006D079F" w:rsidRDefault="00000000">
      <w:pPr>
        <w:pStyle w:val="Heading1"/>
      </w:pPr>
      <w:r>
        <w:lastRenderedPageBreak/>
        <w:t>Demographic and Migration Governance Cases — Worksheet</w:t>
      </w:r>
    </w:p>
    <w:p w14:paraId="29CF73D5" w14:textId="77777777" w:rsidR="006D079F" w:rsidRDefault="00000000">
      <w:pPr>
        <w:pStyle w:val="Heading2"/>
      </w:pPr>
      <w:bookmarkStart w:id="36" w:name="X9fbc13ec80dc2bb8cc35c7a040b5883cc945045"/>
      <w:r>
        <w:t>ASEAN labour migration agreements — Labour migration governance pair</w:t>
      </w:r>
    </w:p>
    <w:p w14:paraId="169B754B" w14:textId="77777777" w:rsidR="006D079F" w:rsidRDefault="00000000">
      <w:r>
        <w:rPr>
          <w:i/>
          <w:iCs/>
        </w:rPr>
        <w:t>IR227 Seminar 10 — Group worksheet</w:t>
      </w:r>
    </w:p>
    <w:p w14:paraId="64EF7996" w14:textId="77777777" w:rsidR="006D079F" w:rsidRDefault="00000000">
      <w:pPr>
        <w:pStyle w:val="Heading3"/>
      </w:pPr>
      <w:bookmarkStart w:id="37" w:name="task-5"/>
      <w:r>
        <w:t>Task</w:t>
      </w:r>
    </w:p>
    <w:p w14:paraId="52186A4D" w14:textId="77777777" w:rsidR="006D079F" w:rsidRDefault="00000000">
      <w:r>
        <w:t>Take your assigned demographic-or-migration governance case. Apply the relevant frameworks. Identify coalitions. Reach a verdict on governance trajectory. Then close with a brief cross-transition reflection: what does this case imply for climate (Lecture 9) or AI (Lecture 11)?</w:t>
      </w:r>
    </w:p>
    <w:p w14:paraId="0DB2DAA7" w14:textId="77777777" w:rsidR="006D079F" w:rsidRDefault="00000000">
      <w:pPr>
        <w:pStyle w:val="BodyText"/>
      </w:pPr>
      <w:r>
        <w:t>The analytical tools you will deploy are: Hollifield’s migration state and Freeman’s typology (applied at the national level — see the fit note below).</w:t>
      </w:r>
    </w:p>
    <w:p w14:paraId="217AE182" w14:textId="77777777" w:rsidR="006D079F" w:rsidRDefault="00000000">
      <w:pPr>
        <w:pStyle w:val="Heading3"/>
      </w:pPr>
      <w:bookmarkStart w:id="38" w:name="requirements-5"/>
      <w:bookmarkEnd w:id="37"/>
      <w:r>
        <w:t>Requirements</w:t>
      </w:r>
    </w:p>
    <w:p w14:paraId="0229EB7B" w14:textId="77777777" w:rsidR="006D079F" w:rsidRDefault="00000000">
      <w:pPr>
        <w:numPr>
          <w:ilvl w:val="0"/>
          <w:numId w:val="38"/>
        </w:numPr>
      </w:pPr>
      <w:r>
        <w:t>identify which frameworks apply to your case, with evidence,</w:t>
      </w:r>
    </w:p>
    <w:p w14:paraId="1D3B8A74" w14:textId="77777777" w:rsidR="006D079F" w:rsidRDefault="00000000">
      <w:pPr>
        <w:numPr>
          <w:ilvl w:val="0"/>
          <w:numId w:val="38"/>
        </w:numPr>
      </w:pPr>
      <w:r>
        <w:t>apply each: what does it predict for the case, and where does the prediction match the evidence,</w:t>
      </w:r>
    </w:p>
    <w:p w14:paraId="103B4389" w14:textId="77777777" w:rsidR="006D079F" w:rsidRDefault="00000000">
      <w:pPr>
        <w:numPr>
          <w:ilvl w:val="0"/>
          <w:numId w:val="38"/>
        </w:numPr>
      </w:pPr>
      <w:r>
        <w:t>identify coalitions, specifying actors and interests,</w:t>
      </w:r>
    </w:p>
    <w:p w14:paraId="4C9A9C83" w14:textId="77777777" w:rsidR="006D079F" w:rsidRDefault="00000000">
      <w:pPr>
        <w:numPr>
          <w:ilvl w:val="0"/>
          <w:numId w:val="38"/>
        </w:numPr>
      </w:pPr>
      <w:r>
        <w:t>reach a governance-trajectory verdict, and</w:t>
      </w:r>
    </w:p>
    <w:p w14:paraId="62731AD7" w14:textId="77777777" w:rsidR="006D079F" w:rsidRDefault="00000000">
      <w:pPr>
        <w:numPr>
          <w:ilvl w:val="0"/>
          <w:numId w:val="38"/>
        </w:numPr>
      </w:pPr>
      <w:r>
        <w:t>close with a specific cross-transition reflection: what does your case imply for climate (Lecture 9) or AI (Lecture 11)?</w:t>
      </w:r>
    </w:p>
    <w:p w14:paraId="74D98E5B" w14:textId="77777777" w:rsidR="006D079F" w:rsidRDefault="00000000">
      <w:r>
        <w:t>Note: these cases are deliberately under-determined. There is no single correct verdict — you will be assessed on the strength of the reasoning chain (framework application → coalition analysis → verdict → cross-transition reflection), not on which verdict you reach.</w:t>
      </w:r>
    </w:p>
    <w:p w14:paraId="59373A9C" w14:textId="77777777" w:rsidR="006D079F" w:rsidRDefault="00000000">
      <w:pPr>
        <w:pStyle w:val="Heading3"/>
      </w:pPr>
      <w:bookmarkStart w:id="39" w:name="tool-summary-5"/>
      <w:bookmarkEnd w:id="38"/>
      <w:r>
        <w:t>Tool summary</w:t>
      </w:r>
    </w:p>
    <w:p w14:paraId="36D04EC2" w14:textId="77777777" w:rsidR="006D079F" w:rsidRDefault="00000000">
      <w:r>
        <w:rPr>
          <w:b/>
          <w:bCs/>
        </w:rPr>
        <w:t>Hollifield’s migration state (Hollifield 2004).</w:t>
      </w:r>
      <w:r>
        <w:t xml:space="preserve"> The 20th–21st centuries have seen the emergence of the migration state, in which regulating international migration sits alongside providing security and economic well-being as a core state function. Rights are the key instrument. The liberal paradox — economic openness pulling one way, political pressure pulling the other — is structural to every liberal democracy, not contingent on any one of them.</w:t>
      </w:r>
    </w:p>
    <w:p w14:paraId="706A4B61" w14:textId="77777777" w:rsidR="006D079F" w:rsidRDefault="00000000">
      <w:pPr>
        <w:numPr>
          <w:ilvl w:val="0"/>
          <w:numId w:val="39"/>
        </w:numPr>
      </w:pPr>
      <w:r>
        <w:rPr>
          <w:i/>
          <w:iCs/>
        </w:rPr>
        <w:t>How to apply it here:</w:t>
      </w:r>
      <w:r>
        <w:t xml:space="preserve"> ASEAN states sit at different stages of migration-state development. Name, per receiving state, (i) what economic-integration pressure toward openness looks like (labour-shortage sectors, diaspora remittance dependence for sending states), (ii) what political pressure toward closure looks like (nationalist actors, receiving-country labour), and (iii) which is currently binding — and note that the answer will differ across Singapore, Malaysia, and Thailand rather than being uniform across “ASEAN.”</w:t>
      </w:r>
    </w:p>
    <w:p w14:paraId="38DABF73" w14:textId="77777777" w:rsidR="006D079F" w:rsidRDefault="00000000">
      <w:pPr>
        <w:numPr>
          <w:ilvl w:val="0"/>
          <w:numId w:val="39"/>
        </w:numPr>
      </w:pPr>
      <w:r>
        <w:rPr>
          <w:i/>
          <w:iCs/>
        </w:rPr>
        <w:lastRenderedPageBreak/>
        <w:t>Scope check:</w:t>
      </w:r>
      <w:r>
        <w:t xml:space="preserve"> don’t treat “ASEAN” as if it were one migration state — the framework applies (unevenly) at the national level; regional coordination (MRAs, the Bali Process) is a separate layer on top, not itself a migration state.</w:t>
      </w:r>
    </w:p>
    <w:p w14:paraId="3AEF7851" w14:textId="77777777" w:rsidR="006D079F" w:rsidRDefault="00000000">
      <w:r>
        <w:rPr>
          <w:b/>
          <w:bCs/>
        </w:rPr>
        <w:t>Freeman’s typology (Freeman 2006) — fit note.</w:t>
      </w:r>
      <w:r>
        <w:t xml:space="preserve"> Each type of immigration policy produces a distinctive mode of politics.</w:t>
      </w:r>
    </w:p>
    <w:p w14:paraId="0FE79797" w14:textId="77777777" w:rsidR="006D079F" w:rsidRDefault="00000000">
      <w:pPr>
        <w:numPr>
          <w:ilvl w:val="0"/>
          <w:numId w:val="40"/>
        </w:numPr>
      </w:pPr>
      <w:r>
        <w:t>Concentrated distributive — permanent-residence visas — client politics.</w:t>
      </w:r>
    </w:p>
    <w:p w14:paraId="42AF3F5E" w14:textId="77777777" w:rsidR="006D079F" w:rsidRDefault="00000000">
      <w:pPr>
        <w:numPr>
          <w:ilvl w:val="0"/>
          <w:numId w:val="40"/>
        </w:numPr>
      </w:pPr>
      <w:r>
        <w:t>Diffuse distributive — non-immigrant visas (tourism, study) — majoritarian politics.</w:t>
      </w:r>
    </w:p>
    <w:p w14:paraId="581EC5E0" w14:textId="77777777" w:rsidR="006D079F" w:rsidRDefault="00000000">
      <w:pPr>
        <w:numPr>
          <w:ilvl w:val="0"/>
          <w:numId w:val="40"/>
        </w:numPr>
      </w:pPr>
      <w:r>
        <w:t>Redistributive — non-immigrant work visas; welfare for immigrants — interest-group politics.</w:t>
      </w:r>
    </w:p>
    <w:p w14:paraId="2F99FC37" w14:textId="77777777" w:rsidR="006D079F" w:rsidRDefault="00000000">
      <w:pPr>
        <w:numPr>
          <w:ilvl w:val="0"/>
          <w:numId w:val="40"/>
        </w:numPr>
      </w:pPr>
      <w:r>
        <w:t>Regulatory — asylum claims — entrepreneurial politics.</w:t>
      </w:r>
    </w:p>
    <w:p w14:paraId="416D9BA7" w14:textId="77777777" w:rsidR="006D079F" w:rsidRDefault="00000000">
      <w:pPr>
        <w:numPr>
          <w:ilvl w:val="0"/>
          <w:numId w:val="40"/>
        </w:numPr>
      </w:pPr>
      <w:r>
        <w:t>Apply this at the national level: skilled permanent-residence visas are concentrated-distributive (client politics with sectoral firm beneficiaries); non-immigrant work visas are redistributive (interest-group politics, with employer organisations and labour-/migrant-rights coalitions both organised). The ASEAN-level professional Mutual Recognition Arrangements sit outside Freeman’s four categories entirely — they harmonise professional standards rather than allocate visas.</w:t>
      </w:r>
    </w:p>
    <w:p w14:paraId="24F92F0F" w14:textId="77777777" w:rsidR="006D079F" w:rsidRDefault="00000000">
      <w:pPr>
        <w:pStyle w:val="Heading3"/>
      </w:pPr>
      <w:bookmarkStart w:id="40" w:name="case-specifics-from-the-case-pack-5"/>
      <w:bookmarkEnd w:id="39"/>
      <w:r>
        <w:t>Case specifics (from the case pack)</w:t>
      </w:r>
    </w:p>
    <w:p w14:paraId="068F20AE" w14:textId="77777777" w:rsidR="006D079F" w:rsidRDefault="00000000">
      <w:r>
        <w:t>ASEAN labour mobility is the largest functioning regional labour-migration system among lower-middle-income contexts. Coordination has been incremental and dominated by bilateral arrangements; multilateral instruments remain largely symbolic so far.</w:t>
      </w:r>
    </w:p>
    <w:p w14:paraId="3BE5589A" w14:textId="77777777" w:rsidR="006D079F" w:rsidRDefault="00000000">
      <w:pPr>
        <w:pStyle w:val="BodyText"/>
      </w:pPr>
      <w:r>
        <w:rPr>
          <w:b/>
          <w:bCs/>
        </w:rPr>
        <w:t>Case: the agency’s data</w:t>
      </w:r>
    </w:p>
    <w:p w14:paraId="6884D7EC" w14:textId="77777777" w:rsidR="006D079F" w:rsidRDefault="00000000">
      <w:pPr>
        <w:numPr>
          <w:ilvl w:val="0"/>
          <w:numId w:val="41"/>
        </w:numPr>
      </w:pPr>
      <w:r>
        <w:t>ASEAN member states: Brunei, Cambodia, Indonesia, Laos, Malaysia, Myanmar, Philippines, Singapore, Thailand, Vietnam.</w:t>
      </w:r>
    </w:p>
    <w:p w14:paraId="4B5C599E" w14:textId="77777777" w:rsidR="006D079F" w:rsidRDefault="00000000">
      <w:pPr>
        <w:numPr>
          <w:ilvl w:val="0"/>
          <w:numId w:val="41"/>
        </w:numPr>
      </w:pPr>
      <w:r>
        <w:t>Intra-ASEAN labour migration: Singapore, Malaysia, Thailand are net receivers; Indonesia, Philippines, Vietnam, Cambodia, Myanmar are net senders.</w:t>
      </w:r>
    </w:p>
    <w:p w14:paraId="30E6D6EB" w14:textId="77777777" w:rsidR="006D079F" w:rsidRDefault="00000000">
      <w:pPr>
        <w:numPr>
          <w:ilvl w:val="0"/>
          <w:numId w:val="41"/>
        </w:numPr>
      </w:pPr>
      <w:r>
        <w:t>Mutual Recognition Arrangements (MRAs): eight professional MRAs (engineering, nursing, architecture, surveying, accountancy, dentistry, medical practice, tourism); implementation varies.</w:t>
      </w:r>
    </w:p>
    <w:p w14:paraId="22CFCB04" w14:textId="77777777" w:rsidR="006D079F" w:rsidRDefault="00000000">
      <w:pPr>
        <w:numPr>
          <w:ilvl w:val="0"/>
          <w:numId w:val="41"/>
        </w:numPr>
      </w:pPr>
      <w:r>
        <w:t>Bali Process: 2002–present; coordination mechanism for irregular-migration management; 49 member states; non-binding.</w:t>
      </w:r>
    </w:p>
    <w:p w14:paraId="18AC2389" w14:textId="77777777" w:rsidR="006D079F" w:rsidRDefault="00000000">
      <w:pPr>
        <w:numPr>
          <w:ilvl w:val="0"/>
          <w:numId w:val="41"/>
        </w:numPr>
      </w:pPr>
      <w:r>
        <w:t>ASEAN Consensus on the Protection and Promotion of the Rights of Migrant Workers (2017): non-binding declaration; weak implementation.</w:t>
      </w:r>
    </w:p>
    <w:p w14:paraId="1EDBF266" w14:textId="77777777" w:rsidR="006D079F" w:rsidRDefault="00000000">
      <w:pPr>
        <w:numPr>
          <w:ilvl w:val="0"/>
          <w:numId w:val="41"/>
        </w:numPr>
      </w:pPr>
      <w:r>
        <w:lastRenderedPageBreak/>
        <w:t>Bilateral memoranda: dominant practical migration-management mechanism; e.g., Indonesia–Malaysia MoU on domestic workers; Philippines–Singapore agreements; Vietnam–Korea agreements (extra-ASEAN).</w:t>
      </w:r>
    </w:p>
    <w:p w14:paraId="76EEEC4C" w14:textId="77777777" w:rsidR="006D079F" w:rsidRDefault="00000000">
      <w:pPr>
        <w:numPr>
          <w:ilvl w:val="0"/>
          <w:numId w:val="41"/>
        </w:numPr>
      </w:pPr>
      <w:r>
        <w:t>Coalition dynamics: pro-coordination coalition includes ASEAN technocratic elite, some employer interests in receiving states, sending-country diaspora communities. Anti-deeper-integration coalition includes nationalist political actors, segments of receiving-country labour, some cultural conservatives.</w:t>
      </w:r>
    </w:p>
    <w:p w14:paraId="46EC171F" w14:textId="77777777" w:rsidR="006D079F" w:rsidRDefault="00000000">
      <w:pPr>
        <w:numPr>
          <w:ilvl w:val="0"/>
          <w:numId w:val="41"/>
        </w:numPr>
      </w:pPr>
      <w:r>
        <w:t>Workforce dependence: Singapore ~38% migrant workforce; Malaysia ~25%; Thailand ~8% (mostly Cambodian, Lao, Myanmar).</w:t>
      </w:r>
    </w:p>
    <w:p w14:paraId="6A3FCF4F" w14:textId="77777777" w:rsidR="006D079F" w:rsidRDefault="00000000">
      <w:pPr>
        <w:numPr>
          <w:ilvl w:val="0"/>
          <w:numId w:val="41"/>
        </w:numPr>
      </w:pPr>
      <w:r>
        <w:t>Recent context: 2024–25 ASEAN Vision 2025 elaboration; expanded MRAs; ASEAN Migrant Workers Convention status; recent Singapore reforms on foreign-worker policy.</w:t>
      </w:r>
    </w:p>
    <w:p w14:paraId="2D00FBBE" w14:textId="77777777" w:rsidR="006D079F" w:rsidRDefault="00000000">
      <w:pPr>
        <w:pStyle w:val="Heading3"/>
      </w:pPr>
      <w:bookmarkStart w:id="41" w:name="X568068362dc8e4133806000961525b2dac20a29"/>
      <w:bookmarkEnd w:id="40"/>
      <w:r>
        <w:t>Discussion questions from the case pack</w:t>
      </w:r>
    </w:p>
    <w:p w14:paraId="19C66D09" w14:textId="77777777" w:rsidR="006D079F" w:rsidRDefault="00000000">
      <w:pPr>
        <w:numPr>
          <w:ilvl w:val="0"/>
          <w:numId w:val="42"/>
        </w:numPr>
      </w:pPr>
      <w:r>
        <w:t>Apply Hollifield’s migration state to the ASEAN states, using the how-to-apply and scope-check notes above.</w:t>
      </w:r>
    </w:p>
    <w:p w14:paraId="6C51B0E8" w14:textId="77777777" w:rsidR="006D079F" w:rsidRDefault="00000000">
      <w:pPr>
        <w:numPr>
          <w:ilvl w:val="0"/>
          <w:numId w:val="42"/>
        </w:numPr>
      </w:pPr>
      <w:r>
        <w:t>Apply Freeman’s typology at the national level, using the fit note above.</w:t>
      </w:r>
    </w:p>
    <w:p w14:paraId="14FCAECB" w14:textId="77777777" w:rsidR="006D079F" w:rsidRDefault="00000000">
      <w:pPr>
        <w:numPr>
          <w:ilvl w:val="0"/>
          <w:numId w:val="42"/>
        </w:numPr>
      </w:pPr>
      <w:r>
        <w:t>Identify coalition dynamics.</w:t>
      </w:r>
    </w:p>
    <w:p w14:paraId="3CCA549F" w14:textId="77777777" w:rsidR="006D079F" w:rsidRDefault="00000000">
      <w:pPr>
        <w:numPr>
          <w:ilvl w:val="0"/>
          <w:numId w:val="42"/>
        </w:numPr>
      </w:pPr>
      <w:r>
        <w:t>Reach a governance-trajectory verdict.</w:t>
      </w:r>
    </w:p>
    <w:p w14:paraId="391D3E6A" w14:textId="77777777" w:rsidR="006D079F" w:rsidRDefault="00000000">
      <w:pPr>
        <w:numPr>
          <w:ilvl w:val="0"/>
          <w:numId w:val="42"/>
        </w:numPr>
      </w:pPr>
      <w:r>
        <w:t>Compare to GCC: different non-OECD migration designs — what specifically differs?</w:t>
      </w:r>
    </w:p>
    <w:p w14:paraId="31F03C81" w14:textId="77777777" w:rsidR="006D079F" w:rsidRDefault="00000000">
      <w:pPr>
        <w:numPr>
          <w:ilvl w:val="0"/>
          <w:numId w:val="42"/>
        </w:numPr>
      </w:pPr>
      <w:r>
        <w:t>Cross-transition reflection: climate-driven displacement (Indonesia, Philippines, Bangladesh-region pressures) and AI/automation effects (Singapore as automation leader) will reshape ASEAN labour-migration demand — how, specifically?</w:t>
      </w:r>
      <w:bookmarkEnd w:id="35"/>
      <w:bookmarkEnd w:id="36"/>
      <w:bookmarkEnd w:id="41"/>
    </w:p>
    <w:sectPr w:rsidR="006D079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BF56C3" w14:textId="77777777" w:rsidR="00F45765" w:rsidRDefault="00F45765">
      <w:pPr>
        <w:spacing w:after="0" w:line="240" w:lineRule="auto"/>
      </w:pPr>
      <w:r>
        <w:separator/>
      </w:r>
    </w:p>
  </w:endnote>
  <w:endnote w:type="continuationSeparator" w:id="0">
    <w:p w14:paraId="6DD1978A" w14:textId="77777777" w:rsidR="00F45765" w:rsidRDefault="00F45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0F0FBF" w14:textId="77777777" w:rsidR="00F45765" w:rsidRDefault="00F45765">
      <w:r>
        <w:separator/>
      </w:r>
    </w:p>
  </w:footnote>
  <w:footnote w:type="continuationSeparator" w:id="0">
    <w:p w14:paraId="2ACFB1A4" w14:textId="77777777" w:rsidR="00F45765" w:rsidRDefault="00F45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834ED28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00A991"/>
    <w:multiLevelType w:val="multilevel"/>
    <w:tmpl w:val="94C0F84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 w:numId="10" w16cid:durableId="1016493524">
    <w:abstractNumId w:val="9"/>
  </w:num>
  <w:num w:numId="11" w16cid:durableId="1746536635">
    <w:abstractNumId w:val="10"/>
  </w:num>
  <w:num w:numId="12" w16cid:durableId="215432014">
    <w:abstractNumId w:val="10"/>
  </w:num>
  <w:num w:numId="13" w16cid:durableId="448473706">
    <w:abstractNumId w:val="10"/>
  </w:num>
  <w:num w:numId="14" w16cid:durableId="1198811553">
    <w:abstractNumId w:val="10"/>
  </w:num>
  <w:num w:numId="15" w16cid:durableId="336231680">
    <w:abstractNumId w:val="10"/>
  </w:num>
  <w:num w:numId="16" w16cid:durableId="516239678">
    <w:abstractNumId w:val="10"/>
  </w:num>
  <w:num w:numId="17" w16cid:durableId="1218392746">
    <w:abstractNumId w:val="10"/>
  </w:num>
  <w:num w:numId="18" w16cid:durableId="7605335">
    <w:abstractNumId w:val="10"/>
  </w:num>
  <w:num w:numId="19" w16cid:durableId="9114346">
    <w:abstractNumId w:val="10"/>
  </w:num>
  <w:num w:numId="20" w16cid:durableId="1996954840">
    <w:abstractNumId w:val="10"/>
  </w:num>
  <w:num w:numId="21" w16cid:durableId="1419643326">
    <w:abstractNumId w:val="10"/>
  </w:num>
  <w:num w:numId="22" w16cid:durableId="352345102">
    <w:abstractNumId w:val="10"/>
  </w:num>
  <w:num w:numId="23" w16cid:durableId="1919943204">
    <w:abstractNumId w:val="10"/>
  </w:num>
  <w:num w:numId="24" w16cid:durableId="1166021494">
    <w:abstractNumId w:val="10"/>
  </w:num>
  <w:num w:numId="25" w16cid:durableId="2077432631">
    <w:abstractNumId w:val="10"/>
  </w:num>
  <w:num w:numId="26" w16cid:durableId="789083514">
    <w:abstractNumId w:val="10"/>
  </w:num>
  <w:num w:numId="27" w16cid:durableId="1916620935">
    <w:abstractNumId w:val="10"/>
  </w:num>
  <w:num w:numId="28" w16cid:durableId="404106573">
    <w:abstractNumId w:val="10"/>
  </w:num>
  <w:num w:numId="29" w16cid:durableId="364717939">
    <w:abstractNumId w:val="10"/>
  </w:num>
  <w:num w:numId="30" w16cid:durableId="1281955258">
    <w:abstractNumId w:val="10"/>
  </w:num>
  <w:num w:numId="31" w16cid:durableId="750855541">
    <w:abstractNumId w:val="10"/>
  </w:num>
  <w:num w:numId="32" w16cid:durableId="1091855050">
    <w:abstractNumId w:val="10"/>
  </w:num>
  <w:num w:numId="33" w16cid:durableId="2143501809">
    <w:abstractNumId w:val="10"/>
  </w:num>
  <w:num w:numId="34" w16cid:durableId="1813667987">
    <w:abstractNumId w:val="10"/>
  </w:num>
  <w:num w:numId="35" w16cid:durableId="996108913">
    <w:abstractNumId w:val="10"/>
  </w:num>
  <w:num w:numId="36" w16cid:durableId="757756546">
    <w:abstractNumId w:val="10"/>
  </w:num>
  <w:num w:numId="37" w16cid:durableId="324865157">
    <w:abstractNumId w:val="10"/>
  </w:num>
  <w:num w:numId="38" w16cid:durableId="1203709880">
    <w:abstractNumId w:val="10"/>
  </w:num>
  <w:num w:numId="39" w16cid:durableId="60249758">
    <w:abstractNumId w:val="10"/>
  </w:num>
  <w:num w:numId="40" w16cid:durableId="1246693340">
    <w:abstractNumId w:val="10"/>
  </w:num>
  <w:num w:numId="41" w16cid:durableId="1821458406">
    <w:abstractNumId w:val="10"/>
  </w:num>
  <w:num w:numId="42" w16cid:durableId="33607852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6018"/>
    <w:rsid w:val="0025775B"/>
    <w:rsid w:val="0029639D"/>
    <w:rsid w:val="00326F90"/>
    <w:rsid w:val="00330B99"/>
    <w:rsid w:val="005D1614"/>
    <w:rsid w:val="006D079F"/>
    <w:rsid w:val="00A02940"/>
    <w:rsid w:val="00AA1D8D"/>
    <w:rsid w:val="00B47730"/>
    <w:rsid w:val="00CB0664"/>
    <w:rsid w:val="00D4168F"/>
    <w:rsid w:val="00F457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127AA6"/>
  <w15:docId w15:val="{3C689ECC-59FE-AE4C-9C90-08F7B402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5197</Words>
  <Characters>29626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Pro,E (pgr)</cp:lastModifiedBy>
  <cp:revision>2</cp:revision>
  <dcterms:created xsi:type="dcterms:W3CDTF">2026-07-27T10:02:00Z</dcterms:created>
  <dcterms:modified xsi:type="dcterms:W3CDTF">2026-07-27T10:44:00Z</dcterms:modified>
</cp:coreProperties>
</file>