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E1F066" w14:textId="77777777" w:rsidR="0028542B" w:rsidRDefault="00000000">
      <w:pPr>
        <w:pStyle w:val="Heading1"/>
      </w:pPr>
      <w:bookmarkStart w:id="0" w:name="X88529f4a8b3289816dfdfd21bb31cd4b3ea77ce"/>
      <w:r>
        <w:t>Coal, Cars, and Commitment — Simulation Worksheet</w:t>
      </w:r>
    </w:p>
    <w:p w14:paraId="75D01E11" w14:textId="77777777" w:rsidR="0028542B" w:rsidRDefault="00000000">
      <w:pPr>
        <w:pStyle w:val="Heading2"/>
      </w:pPr>
      <w:bookmarkStart w:id="1" w:name="lusatia-mining-delegation"/>
      <w:r>
        <w:t>Lusatia Mining Delegation</w:t>
      </w:r>
    </w:p>
    <w:p w14:paraId="4C1E680A" w14:textId="77777777" w:rsidR="0028542B" w:rsidRDefault="00000000">
      <w:r>
        <w:rPr>
          <w:i/>
          <w:iCs/>
        </w:rPr>
        <w:t>IR227 Seminar 9 (simulation variant) — Group worksheet</w:t>
      </w:r>
    </w:p>
    <w:p w14:paraId="458A16D5" w14:textId="77777777" w:rsidR="0028542B" w:rsidRDefault="00000000">
      <w:pPr>
        <w:pStyle w:val="Heading3"/>
      </w:pPr>
      <w:bookmarkStart w:id="2" w:name="task"/>
      <w:r>
        <w:t>Task</w:t>
      </w:r>
    </w:p>
    <w:p w14:paraId="5D9AC2FE" w14:textId="77777777" w:rsidR="0028542B" w:rsidRDefault="00000000">
      <w:r>
        <w:t xml:space="preserve">It is late 2019. The Coal Commission’s January 2019 consensus report is on the government’s desk, waiting to become binding law. Your team represents the workforce of the Lusatian lignite fields — IG BCE union officials and regional political figures from Cottbus, Spremberg, and Welzow. Produce an </w:t>
      </w:r>
      <w:r>
        <w:rPr>
          <w:b/>
          <w:bCs/>
        </w:rPr>
        <w:t>advocacy paper (a demand memo)</w:t>
      </w:r>
      <w:r>
        <w:t xml:space="preserve">: name exactly which provisions of the coming law must be legally binding, not discretionary, before your members accept the Commission’s compromise as delivered rather than merely promised. Frame this explicitly as a </w:t>
      </w:r>
      <w:r>
        <w:rPr>
          <w:i/>
          <w:iCs/>
        </w:rPr>
        <w:t>just-transition</w:t>
      </w:r>
      <w:r>
        <w:t xml:space="preserve"> argument — not simply “pay us,” but “make this a transition our members can actually live inside.”</w:t>
      </w:r>
    </w:p>
    <w:p w14:paraId="15376D68" w14:textId="77777777" w:rsidR="0028542B" w:rsidRDefault="00000000">
      <w:pPr>
        <w:pStyle w:val="BodyText"/>
      </w:pPr>
      <w:r>
        <w:t>The analytical tools you will deploy are: the commitment-problem lens (carried over from Lecture 5), Aklin-Mildenberger’s distributional-conflict framing, Streeck-Thelen’s institutional-change typology, and the class’s shared seven-condition scorecard for this case (built together at the start of the session — cite it, don’t re-derive it).</w:t>
      </w:r>
    </w:p>
    <w:p w14:paraId="0A6CEE2D" w14:textId="77777777" w:rsidR="0028542B" w:rsidRDefault="00000000">
      <w:pPr>
        <w:pStyle w:val="Heading3"/>
      </w:pPr>
      <w:bookmarkStart w:id="3" w:name="requirements"/>
      <w:bookmarkEnd w:id="2"/>
      <w:r>
        <w:t>Requirements</w:t>
      </w:r>
    </w:p>
    <w:p w14:paraId="0FF9DB17" w14:textId="77777777" w:rsidR="0028542B" w:rsidRDefault="00000000">
      <w:r>
        <w:t>Your advocacy paper must include:</w:t>
      </w:r>
    </w:p>
    <w:p w14:paraId="7F56B14E" w14:textId="77777777" w:rsidR="0028542B" w:rsidRDefault="00000000">
      <w:pPr>
        <w:numPr>
          <w:ilvl w:val="0"/>
          <w:numId w:val="11"/>
        </w:numPr>
      </w:pPr>
      <w:r>
        <w:rPr>
          <w:b/>
          <w:bCs/>
        </w:rPr>
        <w:t>Goal.</w:t>
      </w:r>
      <w:r>
        <w:t xml:space="preserve"> State precisely what “the Commission’s compromise legislated faithfully” means in concrete, legally specific, just-transition terms — not just “keep the promises.”</w:t>
      </w:r>
    </w:p>
    <w:p w14:paraId="3BDD0721" w14:textId="77777777" w:rsidR="0028542B" w:rsidRDefault="00000000">
      <w:pPr>
        <w:numPr>
          <w:ilvl w:val="0"/>
          <w:numId w:val="11"/>
        </w:numPr>
      </w:pPr>
      <w:r>
        <w:rPr>
          <w:b/>
          <w:bCs/>
        </w:rPr>
        <w:t>Strategy.</w:t>
      </w:r>
      <w:r>
        <w:t xml:space="preserve"> Apply the commitment-problem lens: name exactly which provisions must be statutory entitlements (not discretionary budget lines) and which institutional design features — an independent monitoring body, a judicially enforceable timetable, indexation of the €40bn fund — would fix the gap the class’s own scorecard identified on </w:t>
      </w:r>
      <w:r>
        <w:rPr>
          <w:i/>
          <w:iCs/>
        </w:rPr>
        <w:t>institutional design</w:t>
      </w:r>
      <w:r>
        <w:t xml:space="preserve">. Use Aklin-Mildenberger to name which distributional dimension is binding for your case. Use Streeck-Thelen to characterise what kind of institutional move you are defending against — is a discretionary, revisable fund a standing invitation to future </w:t>
      </w:r>
      <w:r>
        <w:rPr>
          <w:i/>
          <w:iCs/>
        </w:rPr>
        <w:t>exhaustion</w:t>
      </w:r>
      <w:r>
        <w:t>?</w:t>
      </w:r>
    </w:p>
    <w:p w14:paraId="29675854" w14:textId="77777777" w:rsidR="0028542B" w:rsidRDefault="00000000">
      <w:pPr>
        <w:numPr>
          <w:ilvl w:val="0"/>
          <w:numId w:val="11"/>
        </w:numPr>
      </w:pPr>
      <w:r>
        <w:rPr>
          <w:b/>
          <w:bCs/>
        </w:rPr>
        <w:t>How.</w:t>
      </w:r>
      <w:r>
        <w:t xml:space="preserve"> Concrete tactics: which actors you approach first and why, what (if anything) you concede to keep the environmental-NGO wing of the Commission coalition on your side, and how you respond if the government points to Tesla’s Gigafactory jobs as evidence the transition is already working for you.</w:t>
      </w:r>
    </w:p>
    <w:p w14:paraId="7CB45219" w14:textId="77777777" w:rsidR="0028542B" w:rsidRDefault="00000000">
      <w:r>
        <w:t xml:space="preserve">Note: this exercise is deliberately under-determined. You will be assessed on the strength of the reasoning chain (goal → strategy tied to specific commitment-design features, a named </w:t>
      </w:r>
      <w:r>
        <w:lastRenderedPageBreak/>
        <w:t>distributional dimension, and a named mechanism → concrete tactics), not on whether your side “wins” the plenary hearing.</w:t>
      </w:r>
    </w:p>
    <w:p w14:paraId="5F0D699B" w14:textId="77777777" w:rsidR="0028542B" w:rsidRDefault="00000000">
      <w:pPr>
        <w:pStyle w:val="Heading3"/>
      </w:pPr>
      <w:bookmarkStart w:id="4" w:name="tool-summary"/>
      <w:bookmarkEnd w:id="3"/>
      <w:r>
        <w:t>Tool summary</w:t>
      </w:r>
    </w:p>
    <w:p w14:paraId="20995ADE" w14:textId="77777777" w:rsidR="0028542B" w:rsidRDefault="00000000">
      <w:r>
        <w:rPr>
          <w:b/>
          <w:bCs/>
        </w:rPr>
        <w:t>The seven conditions for environmental-governance success (Lecture 7).</w:t>
      </w:r>
      <w:r>
        <w:t xml:space="preserve"> Scientific consensus + epistemic community; concentrated industry / actors; available technological substitutes; asymmetric costs favouring cooperation; distributional mechanisms; institutional design (monitoring, verification, enforcement); political leadership. Scored for this case above — your job is to close the gap on the weakest one.</w:t>
      </w:r>
    </w:p>
    <w:p w14:paraId="363FBE48" w14:textId="77777777" w:rsidR="0028542B" w:rsidRDefault="00000000">
      <w:pPr>
        <w:pStyle w:val="BodyText"/>
      </w:pPr>
      <w:r>
        <w:rPr>
          <w:b/>
          <w:bCs/>
        </w:rPr>
        <w:t>The commitment-problem lens (Lecture 5, carried over).</w:t>
      </w:r>
      <w:r>
        <w:t xml:space="preserve"> Governments cannot always credibly promise future compensation; workers who doubt promised support will materialise have every incentive to block reform now, while they still have the power to do so. A 20-year, multi-billion-euro fund is only as good as the institutional guarantees behind it — ask what makes a promise binding rather than merely stated.</w:t>
      </w:r>
    </w:p>
    <w:p w14:paraId="46739C82" w14:textId="77777777" w:rsidR="0028542B" w:rsidRDefault="00000000">
      <w:pPr>
        <w:pStyle w:val="BodyText"/>
      </w:pPr>
      <w:r>
        <w:rPr>
          <w:b/>
          <w:bCs/>
        </w:rPr>
        <w:t>Aklin-Mildenberger’s distributional-conflict reframing.</w:t>
      </w:r>
      <w:r>
        <w:t xml:space="preserve"> Climate politics is domestic distributive conflict, not primarily collective action. Four dimensions: industry vs. industry; concentrated transition losers vs. diffuse winners; high- vs. low-income households; current vs. future generations. Name which is binding for your case — and consider whether </w:t>
      </w:r>
      <w:r>
        <w:rPr>
          <w:i/>
          <w:iCs/>
        </w:rPr>
        <w:t>Anpassungsgeld</w:t>
      </w:r>
      <w:r>
        <w:t>’s age-targeting raises a current-vs-future-generations question within your own workforce.</w:t>
      </w:r>
    </w:p>
    <w:p w14:paraId="5C480496" w14:textId="77777777" w:rsidR="0028542B" w:rsidRDefault="00000000">
      <w:pPr>
        <w:pStyle w:val="BodyText"/>
      </w:pPr>
      <w:r>
        <w:rPr>
          <w:b/>
          <w:bCs/>
        </w:rPr>
        <w:t>Streeck and Thelen’s institutional-change mechanisms.</w:t>
      </w:r>
      <w:r>
        <w:t xml:space="preserve"> Drift (rule unchanged, environment changes); conversion (rule redirected to new purposes); layering (new rule added without repealing the old); displacement (old rule actively replaced); exhaustion (institution withers). Ask what kind of institutional move you are defending against — is a discretionary, revisable fund a standing invitation to future </w:t>
      </w:r>
      <w:r>
        <w:rPr>
          <w:i/>
          <w:iCs/>
        </w:rPr>
        <w:t>exhaustion</w:t>
      </w:r>
      <w:r>
        <w:t xml:space="preserve"> of the commitment?</w:t>
      </w:r>
    </w:p>
    <w:p w14:paraId="51E4D4C5" w14:textId="77777777" w:rsidR="0028542B" w:rsidRDefault="00000000">
      <w:pPr>
        <w:pStyle w:val="BodyText"/>
      </w:pPr>
      <w:r>
        <w:rPr>
          <w:b/>
          <w:bCs/>
        </w:rPr>
        <w:t>Colgan-Green-Hale’s asset-revaluation lens (secondary).</w:t>
      </w:r>
      <w:r>
        <w:t xml:space="preserve"> Lignite reserves and lignite-specific human capital are being devalued by design as part of a broader “existential politics” of climate change. Useful for framing why your members’ losses are concentrated and structural, not incidental.</w:t>
      </w:r>
    </w:p>
    <w:p w14:paraId="52C36115" w14:textId="77777777" w:rsidR="0028542B" w:rsidRDefault="00000000">
      <w:pPr>
        <w:pStyle w:val="Heading3"/>
      </w:pPr>
      <w:bookmarkStart w:id="5" w:name="case-specifics-from-the-role-brief"/>
      <w:bookmarkEnd w:id="4"/>
      <w:r>
        <w:t>Case specifics (from the role brief)</w:t>
      </w:r>
    </w:p>
    <w:p w14:paraId="2C704277" w14:textId="77777777" w:rsidR="0028542B" w:rsidRDefault="00000000">
      <w:r>
        <w:t xml:space="preserve">The Coal Commission (“Kommission für Wachstum, Strukturwandel und Beschäftigung,” formed June 2018) delivered its consensus report on 26 January 2019: a legally guaranteed phase-out by 2038 at the latest (2032 review clause for possible acceleration to 2035), immediate retirement of several gigawatts of lignite capacity, a roughly €40bn structural-adjustment fund over 20 years for Lusatia, the Rhenish field, and the Central German field, compensation to operators, and </w:t>
      </w:r>
      <w:r>
        <w:rPr>
          <w:i/>
          <w:iCs/>
        </w:rPr>
        <w:t>Anpassungsgeld</w:t>
      </w:r>
      <w:r>
        <w:t xml:space="preserve"> bridge payments for older workers unable to be redeployed before retirement. You accepted this compromise on the understanding the government would legislate it faithfully and bindingly — it has not yet done so.</w:t>
      </w:r>
    </w:p>
    <w:p w14:paraId="69B28EEB" w14:textId="77777777" w:rsidR="0028542B" w:rsidRDefault="00000000">
      <w:pPr>
        <w:pStyle w:val="BodyText"/>
      </w:pPr>
      <w:r>
        <w:rPr>
          <w:b/>
          <w:bCs/>
        </w:rPr>
        <w:t>Stakeholder landscape to work with:</w:t>
      </w:r>
      <w:r>
        <w:t xml:space="preserve"> the federal working group (BMWi/BMU, drafting the enabling law); the Brandenburg state government (Minister-President Dietmar Woidke, </w:t>
      </w:r>
      <w:r>
        <w:lastRenderedPageBreak/>
        <w:t>who has just spent considerable political capital celebrating Tesla’s Grünheide announcement); LEAG and RWE (the operators, negotiating their own compensation, not always aligned with your workforce priorities); the Bundestag; environmental NGOs on the Commission (BUND, Greenpeace, Deutsche Umwelthilfe — co-signatories who may resist any dilution of the timetable, sometimes at odds with your job-protection asks); Tesla’s Grünheide public-affairs team (a new actor absorbing a large share of the state’s political attention); other unions (ver.di, IG Metall — the latter increasingly interested in organising the clean-tech factories your members may or may not be retrained into).</w:t>
      </w:r>
    </w:p>
    <w:p w14:paraId="0221B65A" w14:textId="77777777" w:rsidR="0028542B" w:rsidRDefault="00000000">
      <w:pPr>
        <w:pStyle w:val="BodyText"/>
      </w:pPr>
      <w:r>
        <w:rPr>
          <w:b/>
          <w:bCs/>
        </w:rPr>
        <w:t>Intelligence on the other two sides:</w:t>
      </w:r>
      <w:r>
        <w:t xml:space="preserve"> the federal working group is squeezed between environmental groups/some coalition MPs (who want the 2035 acceleration option kept live) and industry/some Länder (who want maximum certainty and minimum disruption) — watch for the government using Tesla’s jobs, in public messaging, as evidence the transition already works. Tesla’s team wants fast, reliable, visibly clean electricity and does not want its factory associated with lignite power — which may put Tesla on the same side as environmental NGOs on timetable speed, even though Tesla has no stake in your members’ specific asks.</w:t>
      </w:r>
    </w:p>
    <w:p w14:paraId="625D3A2A" w14:textId="77777777" w:rsidR="0028542B" w:rsidRDefault="00000000">
      <w:pPr>
        <w:pStyle w:val="Heading3"/>
      </w:pPr>
      <w:bookmarkStart w:id="6" w:name="discussion-questions-for-your-plan"/>
      <w:bookmarkEnd w:id="5"/>
      <w:r>
        <w:t>Discussion questions for your plan</w:t>
      </w:r>
    </w:p>
    <w:p w14:paraId="2D8D4231" w14:textId="77777777" w:rsidR="0028542B" w:rsidRDefault="00000000">
      <w:pPr>
        <w:numPr>
          <w:ilvl w:val="0"/>
          <w:numId w:val="12"/>
        </w:numPr>
      </w:pPr>
      <w:r>
        <w:t>Which specific provision of the Commission’s report is most at risk of becoming a discretionary budget line rather than a statutory entitlement — and what institutional design would fix that?</w:t>
      </w:r>
    </w:p>
    <w:p w14:paraId="1F310F9E" w14:textId="77777777" w:rsidR="0028542B" w:rsidRDefault="00000000">
      <w:pPr>
        <w:numPr>
          <w:ilvl w:val="0"/>
          <w:numId w:val="12"/>
        </w:numPr>
      </w:pPr>
      <w:r>
        <w:t>Is a factory job at Grünheide actually equivalent to a unionised, statutorily protected mining job? What’s your answer if the government implies it is?</w:t>
      </w:r>
    </w:p>
    <w:p w14:paraId="3830F49E" w14:textId="77777777" w:rsidR="0028542B" w:rsidRDefault="00000000">
      <w:pPr>
        <w:numPr>
          <w:ilvl w:val="0"/>
          <w:numId w:val="12"/>
        </w:numPr>
      </w:pPr>
      <w:r>
        <w:t>Where does the environmental-NGO wing of the Commission coalition agree with you, and where does it not? What would you concede to keep them as allies rather than opponents?</w:t>
      </w:r>
    </w:p>
    <w:p w14:paraId="49253188" w14:textId="77777777" w:rsidR="0028542B" w:rsidRDefault="00000000">
      <w:pPr>
        <w:numPr>
          <w:ilvl w:val="0"/>
          <w:numId w:val="12"/>
        </w:numPr>
      </w:pPr>
      <w:r>
        <w:t>Apply Aklin-Mildenberger’s four dimensions — which is the binding constraint in your case, and is there a second dimension hiding inside your own workforce (e.g., older vs. younger workers)?</w:t>
      </w:r>
    </w:p>
    <w:p w14:paraId="32EA09F8" w14:textId="77777777" w:rsidR="0028542B" w:rsidRDefault="00000000">
      <w:pPr>
        <w:numPr>
          <w:ilvl w:val="0"/>
          <w:numId w:val="12"/>
        </w:numPr>
      </w:pPr>
      <w:r>
        <w:t xml:space="preserve">The class scored </w:t>
      </w:r>
      <w:r>
        <w:rPr>
          <w:i/>
          <w:iCs/>
        </w:rPr>
        <w:t>institutional design</w:t>
      </w:r>
      <w:r>
        <w:t xml:space="preserve"> as the weakest condition in your case. If you had to spend your strongest bargaining chip on fixing just one part of it — statutory entitlement, independent monitoring, or a judicially enforceable timetable — which one, and why that one first?</w:t>
      </w:r>
    </w:p>
    <w:p w14:paraId="578D4795" w14:textId="77777777" w:rsidR="0028542B" w:rsidRDefault="00000000">
      <w:r>
        <w:br w:type="page"/>
      </w:r>
    </w:p>
    <w:p w14:paraId="62000CD2" w14:textId="77777777" w:rsidR="0028542B" w:rsidRDefault="00000000">
      <w:pPr>
        <w:pStyle w:val="Heading1"/>
      </w:pPr>
      <w:bookmarkStart w:id="7" w:name="Xbef4d0aa9e6228f007bb056ea316b3e91785359"/>
      <w:bookmarkEnd w:id="0"/>
      <w:bookmarkEnd w:id="1"/>
      <w:bookmarkEnd w:id="6"/>
      <w:r>
        <w:lastRenderedPageBreak/>
        <w:t>Coal, Cars, and Commitment — Simulation Worksheet</w:t>
      </w:r>
    </w:p>
    <w:p w14:paraId="36F8D17F" w14:textId="77777777" w:rsidR="0028542B" w:rsidRDefault="00000000">
      <w:pPr>
        <w:pStyle w:val="Heading2"/>
      </w:pPr>
      <w:bookmarkStart w:id="8" w:name="tesla-grünheide-public-affairs-team"/>
      <w:r>
        <w:t>Tesla Grünheide Public-Affairs Team</w:t>
      </w:r>
    </w:p>
    <w:p w14:paraId="0289BC9F" w14:textId="77777777" w:rsidR="0028542B" w:rsidRDefault="00000000">
      <w:r>
        <w:rPr>
          <w:i/>
          <w:iCs/>
        </w:rPr>
        <w:t>IR227 Seminar 9 (simulation variant) — Group worksheet</w:t>
      </w:r>
    </w:p>
    <w:p w14:paraId="7915DE2D" w14:textId="77777777" w:rsidR="0028542B" w:rsidRDefault="00000000">
      <w:pPr>
        <w:pStyle w:val="Heading3"/>
      </w:pPr>
      <w:bookmarkStart w:id="9" w:name="task-1"/>
      <w:r>
        <w:t>Task</w:t>
      </w:r>
    </w:p>
    <w:p w14:paraId="56F949F4" w14:textId="77777777" w:rsidR="0028542B" w:rsidRDefault="00000000">
      <w:r>
        <w:t xml:space="preserve">It is late 2019. Three weeks ago, Tesla announced its first European Gigafactory for Grünheide, Brandenburg. Your team is Tesla’s public-affairs and government-relations office for the project. Produce a </w:t>
      </w:r>
      <w:r>
        <w:rPr>
          <w:b/>
          <w:bCs/>
        </w:rPr>
        <w:t>market access plan</w:t>
      </w:r>
      <w:r>
        <w:t xml:space="preserve">: a short strategy document to bring to the federal working group, securing fast, reliable permitting and grid/water access — built around a deliberate answer to the question, </w:t>
      </w:r>
      <w:r>
        <w:rPr>
          <w:i/>
          <w:iCs/>
        </w:rPr>
        <w:t>which Streeck-Thelen mechanism of institutional change actually helps your position, and how do you use it?</w:t>
      </w:r>
    </w:p>
    <w:p w14:paraId="3496EBE2" w14:textId="77777777" w:rsidR="0028542B" w:rsidRDefault="00000000">
      <w:pPr>
        <w:pStyle w:val="BodyText"/>
      </w:pPr>
      <w:r>
        <w:t>The analytical tools you will deploy are: Streeck and Thelen’s institutional-change typology, stakeholder mapping (power/interest grid), Colgan-Green-Hale’s asset-revaluation lens, and Meckling and colleagues’ green-industrial-policy coalition logic.</w:t>
      </w:r>
    </w:p>
    <w:p w14:paraId="1CE41991" w14:textId="77777777" w:rsidR="0028542B" w:rsidRDefault="00000000">
      <w:pPr>
        <w:pStyle w:val="Heading3"/>
      </w:pPr>
      <w:bookmarkStart w:id="10" w:name="requirements-1"/>
      <w:bookmarkEnd w:id="9"/>
      <w:r>
        <w:t>Requirements</w:t>
      </w:r>
    </w:p>
    <w:p w14:paraId="75B588B1" w14:textId="77777777" w:rsidR="0028542B" w:rsidRDefault="00000000">
      <w:r>
        <w:t>Your market access plan must include:</w:t>
      </w:r>
    </w:p>
    <w:p w14:paraId="5049F745" w14:textId="77777777" w:rsidR="0028542B" w:rsidRDefault="00000000">
      <w:pPr>
        <w:numPr>
          <w:ilvl w:val="0"/>
          <w:numId w:val="13"/>
        </w:numPr>
      </w:pPr>
      <w:r>
        <w:rPr>
          <w:b/>
          <w:bCs/>
        </w:rPr>
        <w:t>Mechanism.</w:t>
      </w:r>
      <w:r>
        <w:t xml:space="preserve"> Name which of Streeck-Thelen’s five mechanisms (drift, conversion, layering, displacement, exhaustion) best describes your factory’s arrival in a coal region — and which one you would </w:t>
      </w:r>
      <w:r>
        <w:rPr>
          <w:i/>
          <w:iCs/>
        </w:rPr>
        <w:t>rather</w:t>
      </w:r>
      <w:r>
        <w:t xml:space="preserve"> it be characterised as, strategically, when you’re the one talking to the federal government. Defend the choice with evidence, and be honest about where the two answers diverge.</w:t>
      </w:r>
    </w:p>
    <w:p w14:paraId="409FED67" w14:textId="77777777" w:rsidR="0028542B" w:rsidRDefault="00000000">
      <w:pPr>
        <w:numPr>
          <w:ilvl w:val="0"/>
          <w:numId w:val="13"/>
        </w:numPr>
      </w:pPr>
      <w:r>
        <w:rPr>
          <w:b/>
          <w:bCs/>
        </w:rPr>
        <w:t>Goal.</w:t>
      </w:r>
      <w:r>
        <w:t xml:space="preserve"> State precisely what a good outcome looks like for the Gigafactory’s permitting and public narrative over the next 12–18 months.</w:t>
      </w:r>
    </w:p>
    <w:p w14:paraId="5263725E" w14:textId="77777777" w:rsidR="0028542B" w:rsidRDefault="00000000">
      <w:pPr>
        <w:numPr>
          <w:ilvl w:val="0"/>
          <w:numId w:val="13"/>
        </w:numPr>
      </w:pPr>
      <w:r>
        <w:rPr>
          <w:b/>
          <w:bCs/>
        </w:rPr>
        <w:t>Strategy.</w:t>
      </w:r>
      <w:r>
        <w:t xml:space="preserve"> The class’s shared scorecard named </w:t>
      </w:r>
      <w:r>
        <w:rPr>
          <w:i/>
          <w:iCs/>
        </w:rPr>
        <w:t>available technological substitutes</w:t>
      </w:r>
      <w:r>
        <w:t xml:space="preserve"> as only partially favourable for this case, and your factory is a live instance of Lecture 9’s “conditions as strategy” playbook — a substitute-technology investment that makes that very condition more favourable. Decide whether to say so explicitly to the government, and what you want in exchange for having built that condition. Use Colgan-Green-Hale to name what your investment is, and is not, offering the region — it revalues Brandenburg’s land and labour upward; it does not automatically compensate Lusatia’s specific mining workforce. Use Meckling’s coalition logic to decide whether you want to be visibly positioned as the “carrot” that makes the coal-phase-out law politically sustainable — and what that costs you if the mining delegation’s compensation fight goes badly.</w:t>
      </w:r>
    </w:p>
    <w:p w14:paraId="4C2753D8" w14:textId="77777777" w:rsidR="0028542B" w:rsidRDefault="00000000">
      <w:pPr>
        <w:numPr>
          <w:ilvl w:val="0"/>
          <w:numId w:val="13"/>
        </w:numPr>
      </w:pPr>
      <w:r>
        <w:rPr>
          <w:b/>
          <w:bCs/>
        </w:rPr>
        <w:t>How.</w:t>
      </w:r>
      <w:r>
        <w:t xml:space="preserve"> A brief stakeholder map (power/interest grid) to support your plan, plus concrete tactics: which stakeholders you approach first and why, how you secure water and grid capacity without becoming a target for environmental groups or the </w:t>
      </w:r>
      <w:r>
        <w:lastRenderedPageBreak/>
        <w:t>mining delegation, how you handle the IG Metall / works-council question, and what you say publicly (if anything) about lignite power still running on your regional grid.</w:t>
      </w:r>
    </w:p>
    <w:p w14:paraId="1BC85B30" w14:textId="77777777" w:rsidR="0028542B" w:rsidRDefault="00000000">
      <w:r>
        <w:t>Note: this exercise is deliberately under-determined. You will be assessed on the strength of the reasoning chain (named mechanism → goal → strategy tied to specific frameworks → concrete tactics), not on whether your side “wins” the plenary hearing.</w:t>
      </w:r>
    </w:p>
    <w:p w14:paraId="5E83439A" w14:textId="77777777" w:rsidR="0028542B" w:rsidRDefault="00000000">
      <w:pPr>
        <w:pStyle w:val="Heading3"/>
      </w:pPr>
      <w:bookmarkStart w:id="11" w:name="tool-summary-1"/>
      <w:bookmarkEnd w:id="10"/>
      <w:r>
        <w:t>Tool summary</w:t>
      </w:r>
    </w:p>
    <w:p w14:paraId="6CC54681" w14:textId="77777777" w:rsidR="0028542B" w:rsidRDefault="00000000">
      <w:r>
        <w:rPr>
          <w:b/>
          <w:bCs/>
        </w:rPr>
        <w:t>Streeck and Thelen’s institutional-change mechanisms (your primary tool).</w:t>
      </w:r>
      <w:r>
        <w:t xml:space="preserve"> Drift (rule unchanged, environment changes); conversion (rule redirected to new purposes); layering (new rule added without repealing the old); displacement (old rule actively replaced); exhaustion (institution withers). Is a green-industry investment landing in a coal state a form of </w:t>
      </w:r>
      <w:r>
        <w:rPr>
          <w:i/>
          <w:iCs/>
        </w:rPr>
        <w:t>conversion</w:t>
      </w:r>
      <w:r>
        <w:t xml:space="preserve"> of the region’s political identity, or is it better described as </w:t>
      </w:r>
      <w:r>
        <w:rPr>
          <w:i/>
          <w:iCs/>
        </w:rPr>
        <w:t>layering</w:t>
      </w:r>
      <w:r>
        <w:t xml:space="preserve"> — a new institution arriving alongside the old coal economy, neither replacing nor redirecting it? The answer changes what you can credibly promise the government.</w:t>
      </w:r>
    </w:p>
    <w:p w14:paraId="672EC1B7" w14:textId="77777777" w:rsidR="0028542B" w:rsidRDefault="00000000">
      <w:pPr>
        <w:pStyle w:val="BodyText"/>
      </w:pPr>
      <w:r>
        <w:rPr>
          <w:b/>
          <w:bCs/>
        </w:rPr>
        <w:t>Stakeholder mapping (practitioner tool).</w:t>
      </w:r>
      <w:r>
        <w:t xml:space="preserve"> Power/interest grid: manage closely (high power, high interest); keep satisfied (high power, low interest); keep informed (low power, high interest); monitor (low power, low interest). Tells you where to spend scarce political capital and permitting-relationship effort — a supporting section of your plan, not its headline.</w:t>
      </w:r>
    </w:p>
    <w:p w14:paraId="07CA7741" w14:textId="77777777" w:rsidR="0028542B" w:rsidRDefault="00000000">
      <w:pPr>
        <w:pStyle w:val="BodyText"/>
      </w:pPr>
      <w:r>
        <w:rPr>
          <w:b/>
          <w:bCs/>
        </w:rPr>
        <w:t>Colgan-Green-Hale’s asset-revaluation lens (secondary).</w:t>
      </w:r>
      <w:r>
        <w:t xml:space="preserve"> Decarbonisation revalues assets; the resulting “existential politics” is a struggle over whose assets rise and whose fall. Your factory revalues land, labour, and a region’s economic identity upward. It does not, by itself, resolve the devaluation of lignite-specific assets and human capital happening in parallel.</w:t>
      </w:r>
    </w:p>
    <w:p w14:paraId="7D4DB00F" w14:textId="77777777" w:rsidR="0028542B" w:rsidRDefault="00000000">
      <w:pPr>
        <w:pStyle w:val="BodyText"/>
      </w:pPr>
      <w:r>
        <w:rPr>
          <w:b/>
          <w:bCs/>
        </w:rPr>
        <w:t>Meckling and colleagues’ green-industrial-policy coalition logic (secondary).</w:t>
      </w:r>
      <w:r>
        <w:t xml:space="preserve"> Green industrial policy — direct investment incentives among them — builds the political coalition that later makes harder measures (binding phase-out law, carbon pricing) sustainable. Your factory is exactly this kind of carrot, whether or not you choose to frame it that way.</w:t>
      </w:r>
    </w:p>
    <w:p w14:paraId="2868192D" w14:textId="77777777" w:rsidR="0028542B" w:rsidRDefault="00000000">
      <w:pPr>
        <w:pStyle w:val="Heading3"/>
      </w:pPr>
      <w:bookmarkStart w:id="12" w:name="case-specifics-from-the-role-brief-1"/>
      <w:bookmarkEnd w:id="11"/>
      <w:r>
        <w:t>Case specifics (from the role brief)</w:t>
      </w:r>
    </w:p>
    <w:p w14:paraId="3C9A9237" w14:textId="77777777" w:rsidR="0028542B" w:rsidRDefault="00000000">
      <w:r>
        <w:t>Tesla’s Grünheide site sits in Landkreis Oder-Spree, Brandenburg, roughly 35km southeast of Berlin — not in the Lusatian coalfield itself, which lies further southeast near Cottbus, but the same state. The plant is planned to eventually employ around 12,000 people. You need reliable water (the local utility, Wasserverband Strausberg-Erkner, has limited capacity, and local residents and environmental groups have raised concerns about groundwater and forest clearance) and reliable, ideally clean, electricity (Brandenburg’s grid still carries significant lignite-fired generation from the plants the Coal Commission report addresses).</w:t>
      </w:r>
    </w:p>
    <w:p w14:paraId="10E80AAB" w14:textId="77777777" w:rsidR="0028542B" w:rsidRDefault="00000000">
      <w:pPr>
        <w:pStyle w:val="BodyText"/>
      </w:pPr>
      <w:r>
        <w:rPr>
          <w:b/>
          <w:bCs/>
        </w:rPr>
        <w:t>Stakeholder landscape to map:</w:t>
      </w:r>
      <w:r>
        <w:t xml:space="preserve"> Brandenburg state government (Minister-President Dietmar Woidke — your most enthusiastic institutional champion); the federal working group (BMWi/BMU); the local council (Gemeinde Grünheide) and Landkreis Oder-Spree </w:t>
      </w:r>
      <w:r>
        <w:lastRenderedPageBreak/>
        <w:t>(your permitting authority); Wasserverband Strausberg-Erkner (a genuine bottleneck, not a formality); environmental groups (NABU, Grüne Liga) and local residents’ associations (low material power, high capacity to delay you through legal challenges); 50Hertz (the regional grid operator, managing interconnection of both lignite and renewable generation); IG Metall (already signalling interest in organising your workforce and establishing a works council); the Lusatia mining delegation / IG BCE (not a direct permitting counterparty, but a political actor whose goodwill or hostility shapes the “green transition creates good jobs” narrative); LEAG and RWE (not your adversary, but competing claimants on the same regional grid capacity, workforce pipeline, and political attention).</w:t>
      </w:r>
    </w:p>
    <w:p w14:paraId="30EE0EED" w14:textId="77777777" w:rsidR="0028542B" w:rsidRDefault="00000000">
      <w:pPr>
        <w:pStyle w:val="BodyText"/>
      </w:pPr>
      <w:r>
        <w:rPr>
          <w:b/>
          <w:bCs/>
        </w:rPr>
        <w:t>Intelligence on the other two sides:</w:t>
      </w:r>
      <w:r>
        <w:t xml:space="preserve"> the mining delegation is watching closely for any sign the government intends to substitute your jobs for their specific compensation and job-protection demands — a substitution they will publicly reject and will not thank you for enabling, even inadvertently. The federal working group would like your factory to function as evidence the trade-off isn’t zero-sum, but cannot let that framing look like it shortchanges Lusatia’s already-negotiated compromise.</w:t>
      </w:r>
    </w:p>
    <w:p w14:paraId="37BF548B" w14:textId="77777777" w:rsidR="0028542B" w:rsidRDefault="00000000">
      <w:pPr>
        <w:pStyle w:val="Heading3"/>
      </w:pPr>
      <w:bookmarkStart w:id="13" w:name="discussion-questions-for-your-plan-1"/>
      <w:bookmarkEnd w:id="12"/>
      <w:r>
        <w:t>Discussion questions for your plan</w:t>
      </w:r>
    </w:p>
    <w:p w14:paraId="421B260C" w14:textId="77777777" w:rsidR="0028542B" w:rsidRDefault="00000000">
      <w:pPr>
        <w:numPr>
          <w:ilvl w:val="0"/>
          <w:numId w:val="14"/>
        </w:numPr>
      </w:pPr>
      <w:r>
        <w:t>Is it in your interest to be publicly associated with the coal-phase-out law’s political success, or does that association carry more risk than benefit?</w:t>
      </w:r>
    </w:p>
    <w:p w14:paraId="268F7420" w14:textId="77777777" w:rsidR="0028542B" w:rsidRDefault="00000000">
      <w:pPr>
        <w:numPr>
          <w:ilvl w:val="0"/>
          <w:numId w:val="14"/>
        </w:numPr>
      </w:pPr>
      <w:r>
        <w:t>What, specifically, do you owe the region versus what the region’s political actors might want to claim you owe it?</w:t>
      </w:r>
    </w:p>
    <w:p w14:paraId="6866BA54" w14:textId="77777777" w:rsidR="0028542B" w:rsidRDefault="00000000">
      <w:pPr>
        <w:numPr>
          <w:ilvl w:val="0"/>
          <w:numId w:val="14"/>
        </w:numPr>
      </w:pPr>
      <w:r>
        <w:t>How do you answer if a journalist asks whether your factory runs on coal-fired power?</w:t>
      </w:r>
    </w:p>
    <w:p w14:paraId="48070607" w14:textId="77777777" w:rsidR="0028542B" w:rsidRDefault="00000000">
      <w:pPr>
        <w:numPr>
          <w:ilvl w:val="0"/>
          <w:numId w:val="14"/>
        </w:numPr>
      </w:pPr>
      <w:r>
        <w:t>What is your actual position on IG Metall and a works council, and how do you defend it if pressed in the hearing?</w:t>
      </w:r>
    </w:p>
    <w:p w14:paraId="507F0865" w14:textId="77777777" w:rsidR="0028542B" w:rsidRDefault="00000000">
      <w:pPr>
        <w:numPr>
          <w:ilvl w:val="0"/>
          <w:numId w:val="14"/>
        </w:numPr>
      </w:pPr>
      <w:r>
        <w:t xml:space="preserve">If the government tries to call your arrival a </w:t>
      </w:r>
      <w:r>
        <w:rPr>
          <w:i/>
          <w:iCs/>
        </w:rPr>
        <w:t>displacement</w:t>
      </w:r>
      <w:r>
        <w:t xml:space="preserve"> of the coal economy in its public messaging, and you think it’s really closer to </w:t>
      </w:r>
      <w:r>
        <w:rPr>
          <w:i/>
          <w:iCs/>
        </w:rPr>
        <w:t>layering</w:t>
      </w:r>
      <w:r>
        <w:t>, does that gap matter to your negotiating position — and why?</w:t>
      </w:r>
    </w:p>
    <w:p w14:paraId="3471D9F7" w14:textId="77777777" w:rsidR="0028542B" w:rsidRDefault="00000000">
      <w:r>
        <w:br w:type="page"/>
      </w:r>
    </w:p>
    <w:p w14:paraId="0EC3B951" w14:textId="77777777" w:rsidR="0028542B" w:rsidRDefault="00000000">
      <w:pPr>
        <w:pStyle w:val="Heading1"/>
      </w:pPr>
      <w:bookmarkStart w:id="14" w:name="X1c985d16019e632205d4d250ced720632d4e92d"/>
      <w:bookmarkEnd w:id="7"/>
      <w:bookmarkEnd w:id="8"/>
      <w:bookmarkEnd w:id="13"/>
      <w:r>
        <w:lastRenderedPageBreak/>
        <w:t>Coal, Cars, and Commitment — Simulation Worksheet</w:t>
      </w:r>
    </w:p>
    <w:p w14:paraId="05A91113" w14:textId="77777777" w:rsidR="0028542B" w:rsidRDefault="00000000">
      <w:pPr>
        <w:pStyle w:val="Heading2"/>
      </w:pPr>
      <w:bookmarkStart w:id="15" w:name="federal-working-group-bmwibmu"/>
      <w:r>
        <w:t>Federal Working Group (BMWi/BMU)</w:t>
      </w:r>
    </w:p>
    <w:p w14:paraId="4200C5AB" w14:textId="77777777" w:rsidR="0028542B" w:rsidRDefault="00000000">
      <w:r>
        <w:rPr>
          <w:i/>
          <w:iCs/>
        </w:rPr>
        <w:t>IR227 Seminar 9 (simulation variant) — Group worksheet</w:t>
      </w:r>
    </w:p>
    <w:p w14:paraId="32ABFAB4" w14:textId="77777777" w:rsidR="0028542B" w:rsidRDefault="00000000">
      <w:pPr>
        <w:pStyle w:val="Heading3"/>
      </w:pPr>
      <w:bookmarkStart w:id="16" w:name="task-2"/>
      <w:r>
        <w:t>Task</w:t>
      </w:r>
    </w:p>
    <w:p w14:paraId="0ABD8D1B" w14:textId="77777777" w:rsidR="0028542B" w:rsidRDefault="00000000">
      <w:r>
        <w:t xml:space="preserve">It is late 2019. Your team is jointly staffed from the Ministry for Economic Affairs and Energy (BMWi) and the Environment Ministry (BMU), charged with turning the Coal Commission’s 26 January 2019 consensus report into binding law. Produce a </w:t>
      </w:r>
      <w:r>
        <w:rPr>
          <w:b/>
          <w:bCs/>
        </w:rPr>
        <w:t>white paper</w:t>
      </w:r>
      <w:r>
        <w:t>, built around Lecture 9’s central strategic move: if the conditions for governance success are weak or contested, the job is to build them, not wait for them.</w:t>
      </w:r>
    </w:p>
    <w:p w14:paraId="24DB03C0" w14:textId="77777777" w:rsidR="0028542B" w:rsidRDefault="00000000">
      <w:r>
        <w:rPr>
          <w:b/>
          <w:bCs/>
        </w:rPr>
        <w:t>Conditions as strategy, not given.</w:t>
      </w:r>
      <w:r>
        <w:t xml:space="preserve"> If a case has weak forms of most conditions for environmental-governance success (Lecture 7), the strategy is to build the conditions: - Invest in </w:t>
      </w:r>
      <w:r>
        <w:rPr>
          <w:b/>
          <w:bCs/>
        </w:rPr>
        <w:t>substitute-technology availability</w:t>
      </w:r>
      <w:r>
        <w:t xml:space="preserve"> so the substitute condition becomes more favourable. - Design </w:t>
      </w:r>
      <w:r>
        <w:rPr>
          <w:b/>
          <w:bCs/>
        </w:rPr>
        <w:t>distributional mechanisms</w:t>
      </w:r>
      <w:r>
        <w:t xml:space="preserve"> (just-transition support, climate finance) at credible scale. - Identify and empower </w:t>
      </w:r>
      <w:r>
        <w:rPr>
          <w:b/>
          <w:bCs/>
        </w:rPr>
        <w:t>pro-regulation firms</w:t>
      </w:r>
      <w:r>
        <w:t xml:space="preserve"> (Lecture 7’s Kennard insight) → coalition-building. - Build </w:t>
      </w:r>
      <w:r>
        <w:rPr>
          <w:b/>
          <w:bCs/>
        </w:rPr>
        <w:t>institutional design that produces credible commitment</w:t>
      </w:r>
      <w:r>
        <w:t xml:space="preserve"> (independent climate-policy bodies, binding sectoral targets, constitutionalised commitments).</w:t>
      </w:r>
    </w:p>
    <w:p w14:paraId="012BA669" w14:textId="77777777" w:rsidR="0028542B" w:rsidRDefault="00000000">
      <w:r>
        <w:t>Conditions are not given. They can be built.</w:t>
      </w:r>
    </w:p>
    <w:p w14:paraId="029BAC77" w14:textId="77777777" w:rsidR="0028542B" w:rsidRDefault="00000000">
      <w:r>
        <w:t>The analytical tools you will deploy are: the commitment-problem lens, the conditions-as-strategy framework above, Meckling and colleagues’ green-industrial-policy coalition logic, and Streeck and Thelen’s institutional-change typology.</w:t>
      </w:r>
    </w:p>
    <w:p w14:paraId="29340C0D" w14:textId="77777777" w:rsidR="0028542B" w:rsidRDefault="00000000">
      <w:pPr>
        <w:pStyle w:val="Heading3"/>
      </w:pPr>
      <w:bookmarkStart w:id="17" w:name="requirements-2"/>
      <w:bookmarkEnd w:id="16"/>
      <w:r>
        <w:t>Requirements</w:t>
      </w:r>
    </w:p>
    <w:p w14:paraId="4CBF2440" w14:textId="77777777" w:rsidR="0028542B" w:rsidRDefault="00000000">
      <w:r>
        <w:t>Your white paper must include:</w:t>
      </w:r>
    </w:p>
    <w:p w14:paraId="5BDE8E6B" w14:textId="77777777" w:rsidR="0028542B" w:rsidRDefault="00000000">
      <w:pPr>
        <w:numPr>
          <w:ilvl w:val="0"/>
          <w:numId w:val="15"/>
        </w:numPr>
      </w:pPr>
      <w:r>
        <w:rPr>
          <w:b/>
          <w:bCs/>
        </w:rPr>
        <w:t>Goal.</w:t>
      </w:r>
      <w:r>
        <w:t xml:space="preserve"> State precisely what the enabling legislation must achieve, beyond “implement the Commission’s report.”</w:t>
      </w:r>
    </w:p>
    <w:p w14:paraId="040A74E5" w14:textId="77777777" w:rsidR="0028542B" w:rsidRDefault="00000000">
      <w:pPr>
        <w:numPr>
          <w:ilvl w:val="0"/>
          <w:numId w:val="15"/>
        </w:numPr>
      </w:pPr>
      <w:r>
        <w:rPr>
          <w:b/>
          <w:bCs/>
        </w:rPr>
        <w:t>Strategy — propose an ideal policy combination.</w:t>
      </w:r>
      <w:r>
        <w:t xml:space="preserve"> The class’s shared scorecard found this case unusually favourable on several conditions (concentrated actors, funded distributional mechanisms) precisely </w:t>
      </w:r>
      <w:r>
        <w:rPr>
          <w:i/>
          <w:iCs/>
        </w:rPr>
        <w:t>because</w:t>
      </w:r>
      <w:r>
        <w:t xml:space="preserve"> someone already built them — and unusually weak on one: credible institutional design. Using the four levers above, propose a concrete legislative package that closes that specific gap: which commitment-design choice buys real credibility (indexation, an independent monitoring body, a judicially enforceable timetable) versus which is politically necessary but commitment-weak; whether and how to use Tesla’s Gigafactory as evidence of the substitute-technology lever already in motion; who counts as a “pro-regulation firm” worth empowering here, beyond the environmental NGOs. Use the commitment-problem lens to justify your statutory-vs-discretionary choices. Use Meckling’s coalition logic to decide, explicitly, whether and how to use Tesla’s </w:t>
      </w:r>
      <w:r>
        <w:lastRenderedPageBreak/>
        <w:t>factory as political capital, without breaking faith with the mining delegation’s specific asks. Use Streeck-Thelen to characterise the legislative move itself.</w:t>
      </w:r>
    </w:p>
    <w:p w14:paraId="20331663" w14:textId="77777777" w:rsidR="0028542B" w:rsidRDefault="00000000">
      <w:pPr>
        <w:numPr>
          <w:ilvl w:val="0"/>
          <w:numId w:val="15"/>
        </w:numPr>
      </w:pPr>
      <w:r>
        <w:rPr>
          <w:b/>
          <w:bCs/>
        </w:rPr>
        <w:t>How.</w:t>
      </w:r>
      <w:r>
        <w:t xml:space="preserve"> Concrete institutional moves: the sequencing of consultation with the Länder, how you keep environmental NGOs and the mining delegation both inside the coalition despite their partially conflicting asks, and how (if at all) you incorporate Tesla’s announcement into your public narrative.</w:t>
      </w:r>
    </w:p>
    <w:p w14:paraId="62EE9959" w14:textId="77777777" w:rsidR="0028542B" w:rsidRDefault="00000000">
      <w:r>
        <w:t>Note: this exercise is deliberately under-determined. You will be assessed on the strength of the reasoning chain (goal → an ideal policy combination tied to the conditions-as-strategy levers and specific commitment-design features → concrete institutional moves), not on whether your side “wins” the plenary hearing.</w:t>
      </w:r>
    </w:p>
    <w:p w14:paraId="6B8E0819" w14:textId="77777777" w:rsidR="0028542B" w:rsidRDefault="00000000">
      <w:pPr>
        <w:pStyle w:val="Heading3"/>
      </w:pPr>
      <w:bookmarkStart w:id="18" w:name="tool-summary-2"/>
      <w:bookmarkEnd w:id="17"/>
      <w:r>
        <w:t>Tool summary</w:t>
      </w:r>
    </w:p>
    <w:p w14:paraId="42D9A842" w14:textId="77777777" w:rsidR="0028542B" w:rsidRDefault="00000000">
      <w:r>
        <w:rPr>
          <w:b/>
          <w:bCs/>
        </w:rPr>
        <w:t>Conditions as strategy, not given (Lecture 9, your primary framework).</w:t>
      </w:r>
      <w:r>
        <w:t xml:space="preserve"> See the box above. This case is a worked example of the argument: several conditions Lecture 9 scores “weak” for climate in general (concentrated industry, distributional mechanisms) score much better here, precisely because the Coal Commission process deliberately built them. Your job is to finish the job on the one that’s still missing.</w:t>
      </w:r>
    </w:p>
    <w:p w14:paraId="3318CB83" w14:textId="77777777" w:rsidR="0028542B" w:rsidRDefault="00000000">
      <w:pPr>
        <w:pStyle w:val="BodyText"/>
      </w:pPr>
      <w:r>
        <w:rPr>
          <w:b/>
          <w:bCs/>
        </w:rPr>
        <w:t>The commitment-problem lens (Lecture 5, carried over).</w:t>
      </w:r>
      <w:r>
        <w:t xml:space="preserve"> A 20-year, multi-billion-euro fund is only as good as the institutional guarantees behind it. Decide which provisions need to be insulated from ordinary annual budget revision, and by what mechanism.</w:t>
      </w:r>
    </w:p>
    <w:p w14:paraId="59442AC5" w14:textId="77777777" w:rsidR="0028542B" w:rsidRDefault="00000000">
      <w:pPr>
        <w:pStyle w:val="BodyText"/>
      </w:pPr>
      <w:r>
        <w:rPr>
          <w:b/>
          <w:bCs/>
        </w:rPr>
        <w:t>Meckling and colleagues’ green-industrial-policy coalition logic.</w:t>
      </w:r>
      <w:r>
        <w:t xml:space="preserve"> Green industrial policy builds the political coalition that makes harder measures sustainable. Tesla’s factory is an unplanned instance of exactly this kind of carrot — decide deliberately whether, and how carefully, to spend it as coalition-building capital.</w:t>
      </w:r>
    </w:p>
    <w:p w14:paraId="27299AAA" w14:textId="77777777" w:rsidR="0028542B" w:rsidRDefault="00000000">
      <w:pPr>
        <w:pStyle w:val="BodyText"/>
      </w:pPr>
      <w:r>
        <w:rPr>
          <w:b/>
          <w:bCs/>
        </w:rPr>
        <w:t>Streeck and Thelen’s institutional-change mechanisms.</w:t>
      </w:r>
      <w:r>
        <w:t xml:space="preserve"> Drift, conversion, layering, displacement, exhaustion. Is the Structural Adjustment Act layering new institutions onto existing federal-fiscal-equalisation architecture? Is the Coal Phase-Out Act’s legal timetable a genuine displacement of the status quo, or something softer?</w:t>
      </w:r>
    </w:p>
    <w:p w14:paraId="021F3019" w14:textId="77777777" w:rsidR="0028542B" w:rsidRDefault="00000000">
      <w:pPr>
        <w:pStyle w:val="BodyText"/>
      </w:pPr>
      <w:r>
        <w:rPr>
          <w:b/>
          <w:bCs/>
        </w:rPr>
        <w:t>Aklin-Mildenberger’s distributional-conflict reframing (secondary).</w:t>
      </w:r>
      <w:r>
        <w:t xml:space="preserve"> Useful for anticipating which distributional dimension each other team will press hardest, and for designing a settlement that doesn’t quietly favour diffuse winners over concentrated losers.</w:t>
      </w:r>
    </w:p>
    <w:p w14:paraId="0184D560" w14:textId="77777777" w:rsidR="0028542B" w:rsidRDefault="00000000">
      <w:pPr>
        <w:pStyle w:val="Heading3"/>
      </w:pPr>
      <w:bookmarkStart w:id="19" w:name="case-specifics-from-the-role-brief-2"/>
      <w:bookmarkEnd w:id="18"/>
      <w:r>
        <w:t>Case specifics (from the role brief)</w:t>
      </w:r>
    </w:p>
    <w:p w14:paraId="5FFA7062" w14:textId="77777777" w:rsidR="0028542B" w:rsidRDefault="00000000">
      <w:r>
        <w:t>The Coal Commission’s report took seven months to negotiate a fragile consensus among industry, unions, environmental NGOs, and the Länder of Brandenburg, Saxony, Saxony-Anhalt, and North Rhine-Westphalia. Three weeks ago, Tesla announced its first European Gigafactory for Grünheide, Brandenburg — unplanned good news that arrived mid-drafting. It is tempting to use it as evidence the transition works, and risky to use it carelessly, since Grünheide is not Lusatia and a factory job is not a mining job.</w:t>
      </w:r>
    </w:p>
    <w:p w14:paraId="25B64C65" w14:textId="77777777" w:rsidR="0028542B" w:rsidRDefault="00000000">
      <w:pPr>
        <w:pStyle w:val="BodyText"/>
      </w:pPr>
      <w:r>
        <w:rPr>
          <w:b/>
          <w:bCs/>
        </w:rPr>
        <w:lastRenderedPageBreak/>
        <w:t>Institutional landscape to work with:</w:t>
      </w:r>
      <w:r>
        <w:t xml:space="preserve"> the Lusatia and Rhenish mining delegations (IG BCE — will accept nothing less than statutory, not discretionary, delivery); LEAG and RWE (want compensation certainty and a workable closure schedule); environmental NGOs (BUND, Greenpeace, Deutsche Umwelthilfe — will resist any weakening of the timetable or the 2032 acceleration-review clause); Länder governments (need the €40bn fund to be real, well-sequenced, and regionally credible); Tesla’s Grünheide team (a live political asset, and liability if mishandled); the Bundestag coalition (CDU/CSU-SPD, with individual MPs from lignite districts facing direct constituency pressure); the Federal Finance Ministry (controls whether the €40bn fund is a genuinely protected, multi-decade statutory commitment or a revisable annual budget line).</w:t>
      </w:r>
    </w:p>
    <w:p w14:paraId="5D9D7B88" w14:textId="77777777" w:rsidR="0028542B" w:rsidRDefault="00000000">
      <w:pPr>
        <w:pStyle w:val="BodyText"/>
      </w:pPr>
      <w:r>
        <w:rPr>
          <w:b/>
          <w:bCs/>
        </w:rPr>
        <w:t>Intelligence on the other two sides:</w:t>
      </w:r>
      <w:r>
        <w:t xml:space="preserve"> the mining delegation will treat any hint that Tesla’s jobs substitute for Lusatia-specific compensation as bad faith, and will press hard on exactly which provisions are statutory versus merely budgeted. Tesla’s team wants fast permitting, reliable clean power, and a public narrative free of lignite association — they will resist being used as your political talking point if it costs them goodwill with environmental groups or the mining delegation.</w:t>
      </w:r>
    </w:p>
    <w:p w14:paraId="7D98FD20" w14:textId="77777777" w:rsidR="0028542B" w:rsidRDefault="00000000">
      <w:pPr>
        <w:pStyle w:val="Heading3"/>
      </w:pPr>
      <w:bookmarkStart w:id="20" w:name="discussion-questions-for-your-plan-2"/>
      <w:bookmarkEnd w:id="19"/>
      <w:r>
        <w:t>Discussion questions for your plan</w:t>
      </w:r>
    </w:p>
    <w:p w14:paraId="7133A3F7" w14:textId="77777777" w:rsidR="0028542B" w:rsidRDefault="00000000">
      <w:pPr>
        <w:numPr>
          <w:ilvl w:val="0"/>
          <w:numId w:val="16"/>
        </w:numPr>
      </w:pPr>
      <w:r>
        <w:t>Which specific Commission-report provision is the hardest to make genuinely commitment-credible, and why?</w:t>
      </w:r>
    </w:p>
    <w:p w14:paraId="652637EF" w14:textId="77777777" w:rsidR="0028542B" w:rsidRDefault="00000000">
      <w:pPr>
        <w:numPr>
          <w:ilvl w:val="0"/>
          <w:numId w:val="16"/>
        </w:numPr>
      </w:pPr>
      <w:r>
        <w:t>Should you mention Tesla’s Gigafactory in the legislation’s public rollout at all — and if so, how do you avoid implying it substitutes for Lusatia’s compensation?</w:t>
      </w:r>
    </w:p>
    <w:p w14:paraId="063CB9BF" w14:textId="77777777" w:rsidR="0028542B" w:rsidRDefault="00000000">
      <w:pPr>
        <w:numPr>
          <w:ilvl w:val="0"/>
          <w:numId w:val="16"/>
        </w:numPr>
      </w:pPr>
      <w:r>
        <w:t>What is the Federal Finance Ministry’s incentive here, and how does it constrain your commitment-design options?</w:t>
      </w:r>
    </w:p>
    <w:p w14:paraId="62AE99C5" w14:textId="77777777" w:rsidR="0028542B" w:rsidRDefault="00000000">
      <w:pPr>
        <w:numPr>
          <w:ilvl w:val="0"/>
          <w:numId w:val="16"/>
        </w:numPr>
      </w:pPr>
      <w:r>
        <w:t>If the environmental-NGO wing and the mining delegation’s asks genuinely conflict (timetable speed vs. job-transition time), what’s your actual answer?</w:t>
      </w:r>
    </w:p>
    <w:p w14:paraId="5F4DFC0C" w14:textId="77777777" w:rsidR="0028542B" w:rsidRDefault="00000000">
      <w:pPr>
        <w:numPr>
          <w:ilvl w:val="0"/>
          <w:numId w:val="16"/>
        </w:numPr>
      </w:pPr>
      <w:r>
        <w:t>Of the four conditions-as-strategy levers, which one is cheapest for you to pull, and which one is most politically expensive — and does your policy combination reflect that trade-off honestly?</w:t>
      </w:r>
    </w:p>
    <w:p w14:paraId="4DCB3E43" w14:textId="77777777" w:rsidR="0028542B" w:rsidRDefault="00000000">
      <w:r>
        <w:br w:type="page"/>
      </w:r>
      <w:bookmarkEnd w:id="14"/>
      <w:bookmarkEnd w:id="15"/>
      <w:bookmarkEnd w:id="20"/>
    </w:p>
    <w:sectPr w:rsidR="0028542B"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7FEB5A" w14:textId="77777777" w:rsidR="005A2401" w:rsidRDefault="005A2401">
      <w:pPr>
        <w:spacing w:after="0" w:line="240" w:lineRule="auto"/>
      </w:pPr>
      <w:r>
        <w:separator/>
      </w:r>
    </w:p>
  </w:endnote>
  <w:endnote w:type="continuationSeparator" w:id="0">
    <w:p w14:paraId="13071844" w14:textId="77777777" w:rsidR="005A2401" w:rsidRDefault="005A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CA6D00" w14:textId="77777777" w:rsidR="005A2401" w:rsidRDefault="005A2401">
      <w:r>
        <w:separator/>
      </w:r>
    </w:p>
  </w:footnote>
  <w:footnote w:type="continuationSeparator" w:id="0">
    <w:p w14:paraId="40E0A37C" w14:textId="77777777" w:rsidR="005A2401" w:rsidRDefault="005A2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0"/>
    <w:multiLevelType w:val="multilevel"/>
    <w:tmpl w:val="F6A2484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0" w15:restartNumberingAfterBreak="0">
    <w:nsid w:val="0000A991"/>
    <w:multiLevelType w:val="multilevel"/>
    <w:tmpl w:val="1F52E35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00A99411"/>
    <w:multiLevelType w:val="multilevel"/>
    <w:tmpl w:val="0B90EDF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1973555985">
    <w:abstractNumId w:val="8"/>
  </w:num>
  <w:num w:numId="2" w16cid:durableId="1366563869">
    <w:abstractNumId w:val="6"/>
  </w:num>
  <w:num w:numId="3" w16cid:durableId="1202668815">
    <w:abstractNumId w:val="5"/>
  </w:num>
  <w:num w:numId="4" w16cid:durableId="892079298">
    <w:abstractNumId w:val="4"/>
  </w:num>
  <w:num w:numId="5" w16cid:durableId="1506898117">
    <w:abstractNumId w:val="7"/>
  </w:num>
  <w:num w:numId="6" w16cid:durableId="2120489874">
    <w:abstractNumId w:val="3"/>
  </w:num>
  <w:num w:numId="7" w16cid:durableId="1656684556">
    <w:abstractNumId w:val="2"/>
  </w:num>
  <w:num w:numId="8" w16cid:durableId="505946227">
    <w:abstractNumId w:val="1"/>
  </w:num>
  <w:num w:numId="9" w16cid:durableId="617180631">
    <w:abstractNumId w:val="0"/>
  </w:num>
  <w:num w:numId="10" w16cid:durableId="383717049">
    <w:abstractNumId w:val="9"/>
  </w:num>
  <w:num w:numId="11" w16cid:durableId="2133744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1042865">
    <w:abstractNumId w:val="10"/>
  </w:num>
  <w:num w:numId="13" w16cid:durableId="1821267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2384996">
    <w:abstractNumId w:val="10"/>
  </w:num>
  <w:num w:numId="15" w16cid:durableId="2998439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673164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2A0A"/>
    <w:rsid w:val="0025775B"/>
    <w:rsid w:val="0028542B"/>
    <w:rsid w:val="0029639D"/>
    <w:rsid w:val="00306B85"/>
    <w:rsid w:val="00326F90"/>
    <w:rsid w:val="005A2401"/>
    <w:rsid w:val="005D1614"/>
    <w:rsid w:val="00AA1D8D"/>
    <w:rsid w:val="00B47730"/>
    <w:rsid w:val="00CB0664"/>
    <w:rsid w:val="00D416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DEA298"/>
  <w15:docId w15:val="{FC3ED0EC-32D5-E74B-8A50-AAFD4091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KeywordTok0">
    <w:name w:val="KeywordTok"/>
    <w:rPr>
      <w:b/>
      <w:color w:val="007020"/>
    </w:rPr>
  </w:style>
  <w:style w:type="character" w:customStyle="1" w:styleId="DataTypeTok0">
    <w:name w:val="DataTypeTok"/>
    <w:rPr>
      <w:color w:val="902000"/>
    </w:rPr>
  </w:style>
  <w:style w:type="character" w:customStyle="1" w:styleId="DecValTok0">
    <w:name w:val="DecValTok"/>
    <w:rPr>
      <w:color w:val="40A070"/>
    </w:rPr>
  </w:style>
  <w:style w:type="character" w:customStyle="1" w:styleId="BaseNTok0">
    <w:name w:val="BaseNTok"/>
    <w:rPr>
      <w:color w:val="40A070"/>
    </w:rPr>
  </w:style>
  <w:style w:type="character" w:customStyle="1" w:styleId="FloatTok0">
    <w:name w:val="FloatTok"/>
    <w:rPr>
      <w:color w:val="40A070"/>
    </w:rPr>
  </w:style>
  <w:style w:type="character" w:customStyle="1" w:styleId="ConstantTok0">
    <w:name w:val="ConstantTok"/>
    <w:rPr>
      <w:color w:val="880000"/>
    </w:rPr>
  </w:style>
  <w:style w:type="character" w:customStyle="1" w:styleId="CharTok0">
    <w:name w:val="CharTok"/>
    <w:rPr>
      <w:color w:val="4070A0"/>
    </w:rPr>
  </w:style>
  <w:style w:type="character" w:customStyle="1" w:styleId="SpecialCharTok0">
    <w:name w:val="SpecialCharTok"/>
    <w:rPr>
      <w:color w:val="4070A0"/>
    </w:rPr>
  </w:style>
  <w:style w:type="character" w:customStyle="1" w:styleId="StringTok0">
    <w:name w:val="StringTok"/>
    <w:rPr>
      <w:color w:val="4070A0"/>
    </w:rPr>
  </w:style>
  <w:style w:type="character" w:customStyle="1" w:styleId="VerbatimStringTok0">
    <w:name w:val="VerbatimStringTok"/>
    <w:rPr>
      <w:color w:val="4070A0"/>
    </w:rPr>
  </w:style>
  <w:style w:type="character" w:customStyle="1" w:styleId="SpecialStringTok0">
    <w:name w:val="SpecialStringTok"/>
    <w:rPr>
      <w:color w:val="BB6688"/>
    </w:rPr>
  </w:style>
  <w:style w:type="character" w:customStyle="1" w:styleId="ImportTok0">
    <w:name w:val="ImportTok"/>
    <w:rPr>
      <w:b/>
      <w:color w:val="008000"/>
    </w:rPr>
  </w:style>
  <w:style w:type="character" w:customStyle="1" w:styleId="CommentTok0">
    <w:name w:val="CommentTok"/>
    <w:rPr>
      <w:i/>
      <w:color w:val="60A0B0"/>
    </w:rPr>
  </w:style>
  <w:style w:type="character" w:customStyle="1" w:styleId="DocumentationTok0">
    <w:name w:val="DocumentationTok"/>
    <w:rPr>
      <w:i/>
      <w:color w:val="BA2121"/>
    </w:rPr>
  </w:style>
  <w:style w:type="character" w:customStyle="1" w:styleId="AnnotationTok0">
    <w:name w:val="AnnotationTok"/>
    <w:rPr>
      <w:b/>
      <w:i/>
      <w:color w:val="60A0B0"/>
    </w:rPr>
  </w:style>
  <w:style w:type="character" w:customStyle="1" w:styleId="CommentVarTok0">
    <w:name w:val="CommentVarTok"/>
    <w:rPr>
      <w:b/>
      <w:i/>
      <w:color w:val="60A0B0"/>
    </w:rPr>
  </w:style>
  <w:style w:type="character" w:customStyle="1" w:styleId="OtherTok0">
    <w:name w:val="OtherTok"/>
    <w:rPr>
      <w:color w:val="007020"/>
    </w:rPr>
  </w:style>
  <w:style w:type="character" w:customStyle="1" w:styleId="FunctionTok0">
    <w:name w:val="FunctionTok"/>
    <w:rPr>
      <w:color w:val="06287E"/>
    </w:rPr>
  </w:style>
  <w:style w:type="character" w:customStyle="1" w:styleId="VariableTok0">
    <w:name w:val="VariableTok"/>
    <w:rPr>
      <w:color w:val="19177C"/>
    </w:rPr>
  </w:style>
  <w:style w:type="character" w:customStyle="1" w:styleId="ControlFlowTok0">
    <w:name w:val="ControlFlowTok"/>
    <w:rPr>
      <w:b/>
      <w:color w:val="007020"/>
    </w:rPr>
  </w:style>
  <w:style w:type="character" w:customStyle="1" w:styleId="OperatorTok0">
    <w:name w:val="OperatorTok"/>
    <w:rPr>
      <w:color w:val="666666"/>
    </w:rPr>
  </w:style>
  <w:style w:type="character" w:customStyle="1" w:styleId="BuiltInTok0">
    <w:name w:val="BuiltInTok"/>
    <w:rPr>
      <w:color w:val="008000"/>
    </w:rPr>
  </w:style>
  <w:style w:type="character" w:customStyle="1" w:styleId="ExtensionTok0">
    <w:name w:val="ExtensionTok"/>
  </w:style>
  <w:style w:type="character" w:customStyle="1" w:styleId="PreprocessorTok0">
    <w:name w:val="PreprocessorTok"/>
    <w:rPr>
      <w:color w:val="BC7A00"/>
    </w:rPr>
  </w:style>
  <w:style w:type="character" w:customStyle="1" w:styleId="AttributeTok0">
    <w:name w:val="AttributeTok"/>
    <w:rPr>
      <w:color w:val="7D9029"/>
    </w:rPr>
  </w:style>
  <w:style w:type="character" w:customStyle="1" w:styleId="RegionMarkerTok0">
    <w:name w:val="RegionMarkerTok"/>
  </w:style>
  <w:style w:type="character" w:customStyle="1" w:styleId="InformationTok0">
    <w:name w:val="InformationTok"/>
    <w:rPr>
      <w:b/>
      <w:i/>
      <w:color w:val="60A0B0"/>
    </w:rPr>
  </w:style>
  <w:style w:type="character" w:customStyle="1" w:styleId="WarningTok0">
    <w:name w:val="WarningTok"/>
    <w:rPr>
      <w:b/>
      <w:i/>
      <w:color w:val="60A0B0"/>
    </w:rPr>
  </w:style>
  <w:style w:type="character" w:customStyle="1" w:styleId="AlertTok0">
    <w:name w:val="AlertTok"/>
    <w:rPr>
      <w:b/>
      <w:color w:val="FF0000"/>
    </w:rPr>
  </w:style>
  <w:style w:type="character" w:customStyle="1" w:styleId="ErrorTok0">
    <w:name w:val="ErrorTok"/>
    <w:rPr>
      <w:b/>
      <w:color w:val="FF0000"/>
    </w:rPr>
  </w:style>
  <w:style w:type="character" w:customStyle="1" w:styleId="NormalTok0">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3443</Words>
  <Characters>19629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Pro,E (pgr)</cp:lastModifiedBy>
  <cp:revision>2</cp:revision>
  <dcterms:created xsi:type="dcterms:W3CDTF">2026-07-23T11:38:00Z</dcterms:created>
  <dcterms:modified xsi:type="dcterms:W3CDTF">2026-07-23T11:41:00Z</dcterms:modified>
</cp:coreProperties>
</file>