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6C5193" w14:textId="77777777" w:rsidR="00B87F55" w:rsidRDefault="00000000">
      <w:pPr>
        <w:pStyle w:val="Heading1"/>
      </w:pPr>
      <w:bookmarkStart w:id="0" w:name="X4be0896fb6f0cff0df688dc3155af7bf6d7e07e"/>
      <w:r>
        <w:t>Facebook vs. Brussels, 2010 — Simulation Worksheet</w:t>
      </w:r>
    </w:p>
    <w:p w14:paraId="3082427B" w14:textId="77777777" w:rsidR="00B87F55" w:rsidRDefault="00000000">
      <w:pPr>
        <w:pStyle w:val="Heading2"/>
      </w:pPr>
      <w:bookmarkStart w:id="1" w:name="facebook-european-public-policy-team"/>
      <w:r>
        <w:t>Facebook — European Public Policy Team</w:t>
      </w:r>
    </w:p>
    <w:p w14:paraId="103D2681" w14:textId="77777777" w:rsidR="00B87F55" w:rsidRDefault="00000000">
      <w:r>
        <w:rPr>
          <w:i/>
          <w:iCs/>
        </w:rPr>
        <w:t>IR227 Seminar 8 (simulation variant) — Group worksheet</w:t>
      </w:r>
    </w:p>
    <w:p w14:paraId="14FAD0B9" w14:textId="77777777" w:rsidR="00B87F55" w:rsidRDefault="00000000">
      <w:pPr>
        <w:pStyle w:val="Heading3"/>
      </w:pPr>
      <w:bookmarkStart w:id="2" w:name="task"/>
      <w:r>
        <w:t>Task</w:t>
      </w:r>
    </w:p>
    <w:p w14:paraId="752602F9" w14:textId="77777777" w:rsidR="00B87F55" w:rsidRDefault="00000000">
      <w:r>
        <w:t>It is 2010. Facebook has just crossed 500 million users. The European Commission is preparing to replace the 1995 Data Protection Directive with something new. Your team is Facebook’s European public-policy office</w:t>
      </w:r>
      <w:r w:rsidRPr="000D3267">
        <w:rPr>
          <w:b/>
          <w:bCs/>
        </w:rPr>
        <w:t>. Produce a public affairs plan</w:t>
      </w:r>
      <w:r>
        <w:t xml:space="preserve"> built to blunt the Brussels effect — the mechanism by which a stringent EU rule becomes the de facto global standard because avoiding it costs firms more than complying with it everywhere.</w:t>
      </w:r>
    </w:p>
    <w:p w14:paraId="4E4D0C62" w14:textId="53E42C94" w:rsidR="00B87F55" w:rsidRDefault="00000000">
      <w:pPr>
        <w:pStyle w:val="BodyText"/>
      </w:pPr>
      <w:r>
        <w:t xml:space="preserve">The analytical tools you will deploy </w:t>
      </w:r>
      <w:proofErr w:type="gramStart"/>
      <w:r>
        <w:t>are:</w:t>
      </w:r>
      <w:proofErr w:type="gramEnd"/>
      <w:r>
        <w:t xml:space="preserve"> Bradford’s five-condition Brussels-effect framework (used here defensively), Streeck and Thelen’s institutional-change typology, and a stakeholder power/interest map.</w:t>
      </w:r>
    </w:p>
    <w:p w14:paraId="7CE0E43D" w14:textId="77777777" w:rsidR="00B87F55" w:rsidRDefault="00000000">
      <w:pPr>
        <w:pStyle w:val="Heading3"/>
      </w:pPr>
      <w:bookmarkStart w:id="3" w:name="requirements"/>
      <w:bookmarkEnd w:id="2"/>
      <w:r>
        <w:t>Requirements</w:t>
      </w:r>
    </w:p>
    <w:p w14:paraId="5AA0F3CA" w14:textId="77777777" w:rsidR="00B87F55" w:rsidRDefault="00000000">
      <w:r>
        <w:t>Your public affairs plan must include:</w:t>
      </w:r>
    </w:p>
    <w:p w14:paraId="6BB5817E" w14:textId="77777777" w:rsidR="00B87F55" w:rsidRDefault="00000000">
      <w:pPr>
        <w:numPr>
          <w:ilvl w:val="0"/>
          <w:numId w:val="11"/>
        </w:numPr>
      </w:pPr>
      <w:r>
        <w:rPr>
          <w:b/>
          <w:bCs/>
        </w:rPr>
        <w:t>Stakeholder map.</w:t>
      </w:r>
      <w:r>
        <w:t xml:space="preserve"> Place each actor from the case brief (and any others you identify) on a power/interest grid: manage closely, keep satisfied, keep informed, monitor.</w:t>
      </w:r>
    </w:p>
    <w:p w14:paraId="2D35BB4E" w14:textId="77777777" w:rsidR="00B87F55" w:rsidRDefault="00000000">
      <w:pPr>
        <w:numPr>
          <w:ilvl w:val="0"/>
          <w:numId w:val="11"/>
        </w:numPr>
      </w:pPr>
      <w:r>
        <w:rPr>
          <w:b/>
          <w:bCs/>
        </w:rPr>
        <w:t>Goal.</w:t>
      </w:r>
      <w:r>
        <w:t xml:space="preserve"> State precisely what a good outcome looks like for Facebook — short of “no regulation at all.”</w:t>
      </w:r>
    </w:p>
    <w:p w14:paraId="015F74FC" w14:textId="77777777" w:rsidR="00B87F55" w:rsidRDefault="00000000">
      <w:pPr>
        <w:numPr>
          <w:ilvl w:val="0"/>
          <w:numId w:val="11"/>
        </w:numPr>
      </w:pPr>
      <w:r>
        <w:rPr>
          <w:b/>
          <w:bCs/>
        </w:rPr>
        <w:t>Strategy.</w:t>
      </w:r>
      <w:r>
        <w:t xml:space="preserve"> Name which of Bradford’s five conditions (market size, regulatory capacity, stringent standards, inelastic targets, non-divisibility) you are trying to weaken, and explain why those and not others. Characterise your own strategy using Streeck and Thelen’s typology — are you defending drift, attempting to convert a friendly regulator’s role, or something else?</w:t>
      </w:r>
    </w:p>
    <w:p w14:paraId="46178C43" w14:textId="77777777" w:rsidR="00B87F55" w:rsidRDefault="00000000">
      <w:pPr>
        <w:numPr>
          <w:ilvl w:val="0"/>
          <w:numId w:val="11"/>
        </w:numPr>
      </w:pPr>
      <w:r>
        <w:rPr>
          <w:b/>
          <w:bCs/>
        </w:rPr>
        <w:t>How.</w:t>
      </w:r>
      <w:r>
        <w:t xml:space="preserve"> Concrete tactics: which stakeholders you approach first and why, what coalitions you build, what you concede early to preserve credibility for the fights that matter, and how you use the Ireland arrangement, Safe Harbor, and industry associations.</w:t>
      </w:r>
    </w:p>
    <w:p w14:paraId="106CC055" w14:textId="77777777" w:rsidR="00B87F55" w:rsidRDefault="00000000">
      <w:r>
        <w:t>Note: this exercise is deliberately under-determined. You will be assessed on the strength of the reasoning chain (stakeholder map → goal → strategy tied to specific conditions and mechanisms → concrete tactics), not on whether your side “wins” the plenary confrontation.</w:t>
      </w:r>
    </w:p>
    <w:p w14:paraId="371B4197" w14:textId="77777777" w:rsidR="00B87F55" w:rsidRDefault="00000000">
      <w:pPr>
        <w:pStyle w:val="Heading3"/>
      </w:pPr>
      <w:bookmarkStart w:id="4" w:name="tool-summary"/>
      <w:bookmarkEnd w:id="3"/>
      <w:r>
        <w:lastRenderedPageBreak/>
        <w:t>Tool summary</w:t>
      </w:r>
    </w:p>
    <w:p w14:paraId="2BB006FD" w14:textId="77777777" w:rsidR="00B87F55" w:rsidRDefault="00000000">
      <w:r>
        <w:rPr>
          <w:b/>
          <w:bCs/>
        </w:rPr>
        <w:t>Brussels-effect conditions (Bradford 2020) — used defensively.</w:t>
      </w:r>
      <w:r>
        <w:t xml:space="preserve"> For each condition, identify whether it is currently weak, contestable, or already too strong to attack, and choose where to spend effort.</w:t>
      </w:r>
    </w:p>
    <w:p w14:paraId="1B08D62E" w14:textId="77777777" w:rsidR="00B87F55" w:rsidRDefault="00000000">
      <w:pPr>
        <w:numPr>
          <w:ilvl w:val="0"/>
          <w:numId w:val="12"/>
        </w:numPr>
      </w:pPr>
      <w:r>
        <w:t>Market size — large enough that exclusion is costly.</w:t>
      </w:r>
    </w:p>
    <w:p w14:paraId="3D0D5404" w14:textId="77777777" w:rsidR="00B87F55" w:rsidRDefault="00000000">
      <w:pPr>
        <w:numPr>
          <w:ilvl w:val="0"/>
          <w:numId w:val="12"/>
        </w:numPr>
      </w:pPr>
      <w:r>
        <w:t>Regulatory capacity — institutional capacity to write and enforce.</w:t>
      </w:r>
    </w:p>
    <w:p w14:paraId="435CE4DC" w14:textId="77777777" w:rsidR="00B87F55" w:rsidRDefault="00000000">
      <w:pPr>
        <w:numPr>
          <w:ilvl w:val="0"/>
          <w:numId w:val="12"/>
        </w:numPr>
      </w:pPr>
      <w:r>
        <w:t>Stringent standards — substantive rules tough enough to bind (not “political will” — that is upstream of capacity, not a condition itself).</w:t>
      </w:r>
    </w:p>
    <w:p w14:paraId="5DC4A9BB" w14:textId="77777777" w:rsidR="00B87F55" w:rsidRDefault="00000000">
      <w:pPr>
        <w:numPr>
          <w:ilvl w:val="0"/>
          <w:numId w:val="12"/>
        </w:numPr>
      </w:pPr>
      <w:r>
        <w:t>Inelastic targets — the regulated population can’t relocate to escape.</w:t>
      </w:r>
    </w:p>
    <w:p w14:paraId="5CB054A8" w14:textId="77777777" w:rsidR="00B87F55" w:rsidRDefault="00000000">
      <w:pPr>
        <w:numPr>
          <w:ilvl w:val="0"/>
          <w:numId w:val="12"/>
        </w:numPr>
      </w:pPr>
      <w:r>
        <w:t>Non-divisibility — conduct can’t be cheaply segmented by market.</w:t>
      </w:r>
    </w:p>
    <w:p w14:paraId="73AC962E" w14:textId="77777777" w:rsidR="00B87F55" w:rsidRDefault="00000000">
      <w:r>
        <w:rPr>
          <w:b/>
          <w:bCs/>
        </w:rPr>
        <w:t>Institutional-change mechanisms (Streeck and Thelen 2005; Hacker 2015).</w:t>
      </w:r>
      <w:r>
        <w:t xml:space="preserve"> Drift, conversion, layering, displacement, exhaustion — use these to describe what kind of institutional move </w:t>
      </w:r>
      <w:r>
        <w:rPr>
          <w:i/>
          <w:iCs/>
        </w:rPr>
        <w:t>you</w:t>
      </w:r>
      <w:r>
        <w:t xml:space="preserve"> are attempting, not just what is happening to you.</w:t>
      </w:r>
    </w:p>
    <w:p w14:paraId="3F0A6B28" w14:textId="77777777" w:rsidR="00B87F55" w:rsidRDefault="00000000">
      <w:pPr>
        <w:pStyle w:val="BodyText"/>
      </w:pPr>
      <w:r>
        <w:rPr>
          <w:b/>
          <w:bCs/>
        </w:rPr>
        <w:t>Bendiek–Stürzer credibility refinement.</w:t>
      </w:r>
      <w:r>
        <w:t xml:space="preserve"> Diffusion is more credible when it rests on visible internal EU consensus, not market size alone. Fracturing that consensus — lobbying individual member states, splitting industry from civil society’s framing, contesting the process rather than the substance — is itself a strategy.</w:t>
      </w:r>
    </w:p>
    <w:p w14:paraId="0DBDAE88" w14:textId="77777777" w:rsidR="00B87F55" w:rsidRDefault="00000000">
      <w:pPr>
        <w:pStyle w:val="BodyText"/>
      </w:pPr>
      <w:r>
        <w:rPr>
          <w:b/>
          <w:bCs/>
        </w:rPr>
        <w:t>Stakeholder mapping (practitioner tool).</w:t>
      </w:r>
      <w:r>
        <w:t xml:space="preserve"> Power/interest grid: manage closely (high power, high interest), keep satisfied (high power, low interest), keep informed (low power, high interest), monitor (low power, low interest).</w:t>
      </w:r>
    </w:p>
    <w:p w14:paraId="40DD5872" w14:textId="77777777" w:rsidR="00B87F55" w:rsidRDefault="00000000">
      <w:pPr>
        <w:pStyle w:val="Heading3"/>
      </w:pPr>
      <w:bookmarkStart w:id="5" w:name="case-specifics-from-the-role-brief"/>
      <w:bookmarkEnd w:id="4"/>
      <w:r>
        <w:t>Case specifics (from the role brief)</w:t>
      </w:r>
    </w:p>
    <w:p w14:paraId="0696DA5F" w14:textId="1FBC4B1A" w:rsidR="00B87F55" w:rsidRPr="000D3267" w:rsidRDefault="00000000" w:rsidP="000906F4">
      <w:pPr>
        <w:rPr>
          <w:lang w:val="en-GB"/>
        </w:rPr>
      </w:pPr>
      <w:r>
        <w:t>Facebook has grown from a US college network (2004) to 500 million users (announced July 2010).</w:t>
      </w:r>
      <w:r w:rsidR="000D3267">
        <w:t xml:space="preserve"> </w:t>
      </w:r>
      <w:r w:rsidR="000D3267" w:rsidRPr="000D3267">
        <w:rPr>
          <w:lang w:val="en-GB"/>
        </w:rPr>
        <w:t>The company is privately held</w:t>
      </w:r>
      <w:r w:rsidR="000D3267">
        <w:rPr>
          <w:lang w:val="en-GB"/>
        </w:rPr>
        <w:t xml:space="preserve"> </w:t>
      </w:r>
      <w:r w:rsidR="000D3267" w:rsidRPr="000D3267">
        <w:rPr>
          <w:lang w:val="en-GB"/>
        </w:rPr>
        <w:t>(the IPO is two years away) and its advertising business depends on</w:t>
      </w:r>
      <w:r w:rsidR="000D3267">
        <w:rPr>
          <w:lang w:val="en-GB"/>
        </w:rPr>
        <w:t xml:space="preserve"> </w:t>
      </w:r>
      <w:r w:rsidR="000D3267" w:rsidRPr="000D3267">
        <w:rPr>
          <w:lang w:val="en-GB"/>
        </w:rPr>
        <w:t>granular behavioural data and a product design that defaults toward</w:t>
      </w:r>
      <w:r w:rsidR="000D3267">
        <w:rPr>
          <w:lang w:val="en-GB"/>
        </w:rPr>
        <w:t xml:space="preserve"> </w:t>
      </w:r>
      <w:r w:rsidR="000D3267" w:rsidRPr="000D3267">
        <w:rPr>
          <w:lang w:val="en-GB"/>
        </w:rPr>
        <w:t>sharing.</w:t>
      </w:r>
      <w:r>
        <w:t xml:space="preserve"> In December 2009 Facebook changed its default privacy settings toward public sharing, drawing a formal letter of concern from the Article 29 Working Party and a </w:t>
      </w:r>
      <w:r w:rsidR="000906F4" w:rsidRPr="000906F4">
        <w:rPr>
          <w:lang w:val="en-GB"/>
        </w:rPr>
        <w:t xml:space="preserve"> and a complaint</w:t>
      </w:r>
      <w:r w:rsidR="000906F4">
        <w:rPr>
          <w:lang w:val="en-GB"/>
        </w:rPr>
        <w:t xml:space="preserve"> </w:t>
      </w:r>
      <w:r w:rsidR="000906F4" w:rsidRPr="000906F4">
        <w:rPr>
          <w:lang w:val="en-GB"/>
        </w:rPr>
        <w:t>to the US Federal Trade Commission from the Electronic Privacy</w:t>
      </w:r>
      <w:r w:rsidR="000906F4">
        <w:rPr>
          <w:lang w:val="en-GB"/>
        </w:rPr>
        <w:t xml:space="preserve"> </w:t>
      </w:r>
      <w:r w:rsidR="000906F4" w:rsidRPr="000906F4">
        <w:rPr>
          <w:lang w:val="en-GB"/>
        </w:rPr>
        <w:t xml:space="preserve">Information </w:t>
      </w:r>
      <w:proofErr w:type="spellStart"/>
      <w:r w:rsidR="000906F4" w:rsidRPr="000906F4">
        <w:rPr>
          <w:lang w:val="en-GB"/>
        </w:rPr>
        <w:t>Center</w:t>
      </w:r>
      <w:proofErr w:type="spellEnd"/>
      <w:r w:rsidR="000906F4" w:rsidRPr="000906F4">
        <w:rPr>
          <w:lang w:val="en-GB"/>
        </w:rPr>
        <w:t>. Zuckerberg was widely quoted (originally via</w:t>
      </w:r>
      <w:r w:rsidR="000906F4">
        <w:rPr>
          <w:lang w:val="en-GB"/>
        </w:rPr>
        <w:t xml:space="preserve"> </w:t>
      </w:r>
      <w:r w:rsidR="000906F4" w:rsidRPr="000906F4">
        <w:rPr>
          <w:lang w:val="en-GB"/>
        </w:rPr>
        <w:t xml:space="preserve">a journalist’s paraphrase, at the January </w:t>
      </w:r>
      <w:proofErr w:type="gramStart"/>
      <w:r w:rsidR="000906F4" w:rsidRPr="000906F4">
        <w:rPr>
          <w:lang w:val="en-GB"/>
        </w:rPr>
        <w:t>2010  Crunchie</w:t>
      </w:r>
      <w:proofErr w:type="gramEnd"/>
      <w:r w:rsidR="000906F4" w:rsidRPr="000906F4">
        <w:rPr>
          <w:lang w:val="en-GB"/>
        </w:rPr>
        <w:t xml:space="preserve"> Awards) as</w:t>
      </w:r>
      <w:r w:rsidR="000906F4">
        <w:rPr>
          <w:lang w:val="en-GB"/>
        </w:rPr>
        <w:t xml:space="preserve"> </w:t>
      </w:r>
      <w:r w:rsidR="000906F4" w:rsidRPr="000906F4">
        <w:rPr>
          <w:lang w:val="en-GB"/>
        </w:rPr>
        <w:t>saying privacy was no longer a “social norm” — a line that is already</w:t>
      </w:r>
      <w:r w:rsidR="000906F4">
        <w:rPr>
          <w:lang w:val="en-GB"/>
        </w:rPr>
        <w:t xml:space="preserve"> </w:t>
      </w:r>
      <w:r w:rsidR="000906F4" w:rsidRPr="000906F4">
        <w:rPr>
          <w:lang w:val="en-GB"/>
        </w:rPr>
        <w:t>being thrown back at the company in Brussels. (</w:t>
      </w:r>
      <w:proofErr w:type="spellStart"/>
      <w:r w:rsidR="000906F4" w:rsidRPr="000906F4">
        <w:rPr>
          <w:lang w:val="en-GB"/>
        </w:rPr>
        <w:t>Gorwa</w:t>
      </w:r>
      <w:proofErr w:type="spellEnd"/>
      <w:r w:rsidR="000906F4" w:rsidRPr="000906F4">
        <w:rPr>
          <w:lang w:val="en-GB"/>
        </w:rPr>
        <w:t xml:space="preserve"> </w:t>
      </w:r>
      <w:proofErr w:type="gramStart"/>
      <w:r w:rsidR="000906F4" w:rsidRPr="000906F4">
        <w:rPr>
          <w:lang w:val="en-GB"/>
        </w:rPr>
        <w:t>2019 )</w:t>
      </w:r>
      <w:r>
        <w:t>Facebook</w:t>
      </w:r>
      <w:proofErr w:type="gramEnd"/>
      <w:r>
        <w:t xml:space="preserve"> is consolidating its non-US/non-Canada operations under Facebook Ireland Limited, positioning the Irish Data Protection Commissioner (Billy Hawkes) as its lead EU </w:t>
      </w:r>
      <w:proofErr w:type="gramStart"/>
      <w:r>
        <w:t>regulator</w:t>
      </w:r>
      <w:r w:rsidR="000906F4">
        <w:t xml:space="preserve"> </w:t>
      </w:r>
      <w:r w:rsidR="000906F4" w:rsidRPr="000906F4">
        <w:rPr>
          <w:lang w:val="en-GB"/>
        </w:rPr>
        <w:t xml:space="preserve"> —</w:t>
      </w:r>
      <w:proofErr w:type="gramEnd"/>
      <w:r w:rsidR="000906F4" w:rsidRPr="000906F4">
        <w:rPr>
          <w:lang w:val="en-GB"/>
        </w:rPr>
        <w:t xml:space="preserve"> a national authority widely seen</w:t>
      </w:r>
      <w:r w:rsidR="000906F4">
        <w:rPr>
          <w:lang w:val="en-GB"/>
        </w:rPr>
        <w:t xml:space="preserve"> </w:t>
      </w:r>
      <w:r w:rsidR="000906F4" w:rsidRPr="000906F4">
        <w:rPr>
          <w:lang w:val="en-GB"/>
        </w:rPr>
        <w:t>in Brussels as comparatively under-resourced relative to Germany’s</w:t>
      </w:r>
      <w:r w:rsidR="000906F4">
        <w:rPr>
          <w:lang w:val="en-GB"/>
        </w:rPr>
        <w:t xml:space="preserve"> </w:t>
      </w:r>
      <w:r w:rsidR="000906F4" w:rsidRPr="000906F4">
        <w:rPr>
          <w:lang w:val="en-GB"/>
        </w:rPr>
        <w:t>or France’s.</w:t>
      </w:r>
      <w:r>
        <w:t xml:space="preserve"> In 2009 Facebook hired Richard Allan, a former UK Liberal Democrat MP, as its first Director of Policy for Europe. Transatlantic data transfers run under the EU–US Safe Harbor framework (2000)</w:t>
      </w:r>
      <w:r w:rsidR="000906F4">
        <w:t xml:space="preserve">, </w:t>
      </w:r>
      <w:r w:rsidR="000906F4" w:rsidRPr="000906F4">
        <w:rPr>
          <w:lang w:val="en-GB"/>
        </w:rPr>
        <w:t>a self-certification scheme</w:t>
      </w:r>
      <w:r w:rsidR="000906F4">
        <w:rPr>
          <w:lang w:val="en-GB"/>
        </w:rPr>
        <w:t xml:space="preserve"> </w:t>
      </w:r>
      <w:r w:rsidR="000906F4" w:rsidRPr="000906F4">
        <w:rPr>
          <w:lang w:val="en-GB"/>
        </w:rPr>
        <w:t>industry has lobbied hard to keep.</w:t>
      </w:r>
    </w:p>
    <w:p w14:paraId="64441087" w14:textId="77777777" w:rsidR="00B87F55" w:rsidRDefault="00000000">
      <w:pPr>
        <w:pStyle w:val="BodyText"/>
      </w:pPr>
      <w:r>
        <w:rPr>
          <w:b/>
          <w:bCs/>
        </w:rPr>
        <w:lastRenderedPageBreak/>
        <w:t>Stakeholder landscape to map:</w:t>
      </w:r>
      <w:r>
        <w:t xml:space="preserve"> European Commission DG Justice (the team you’re negotiating against); DG CONNECT/DG INFSO (potential internal counterweight, more sympathetic to competitiveness arguments); European Parliament LIBE Committee (a co-equal legislator since the Lisbon Treaty, December 2009); Council of the EU / 27 member-state governments; Article 29 Working Party; the Irish Data Protection Commissioner; civil-society groups (EDRi, BEUC, EPIC); industry associations (EDiMA, DigitalEurope, AmCham EU); competitors (Google, Yahoo, European social networks); the US government (USTR, Commerce Department).</w:t>
      </w:r>
    </w:p>
    <w:p w14:paraId="77DBE3B1" w14:textId="77777777" w:rsidR="000906F4" w:rsidRDefault="00000000" w:rsidP="000906F4">
      <w:pPr>
        <w:pStyle w:val="BodyText"/>
        <w:rPr>
          <w:lang w:val="en-GB"/>
        </w:rPr>
      </w:pPr>
      <w:r>
        <w:rPr>
          <w:b/>
          <w:bCs/>
        </w:rPr>
        <w:t>Intelligence on the Commission:</w:t>
      </w:r>
      <w:r>
        <w:t xml:space="preserve"> </w:t>
      </w:r>
      <w:bookmarkStart w:id="6" w:name="discussion-questions-for-your-plan"/>
      <w:bookmarkEnd w:id="5"/>
      <w:r w:rsidR="000906F4" w:rsidRPr="000906F4">
        <w:rPr>
          <w:lang w:val="en-GB"/>
        </w:rPr>
        <w:t>The Commission’s Reding has said publicly that the current Directive</w:t>
      </w:r>
      <w:r w:rsidR="000906F4">
        <w:rPr>
          <w:lang w:val="en-GB"/>
        </w:rPr>
        <w:t xml:space="preserve"> </w:t>
      </w:r>
      <w:r w:rsidR="000906F4" w:rsidRPr="000906F4">
        <w:rPr>
          <w:lang w:val="en-GB"/>
        </w:rPr>
        <w:t>is not fit for the internet age and wants one  EU-wide instrument</w:t>
      </w:r>
      <w:r w:rsidR="000906F4">
        <w:rPr>
          <w:lang w:val="en-GB"/>
        </w:rPr>
        <w:t xml:space="preserve"> </w:t>
      </w:r>
      <w:r w:rsidR="000906F4" w:rsidRPr="000906F4">
        <w:rPr>
          <w:lang w:val="en-GB"/>
        </w:rPr>
        <w:t>rather than 27  national ones. The direction of travel is toward a Regulation</w:t>
      </w:r>
      <w:r w:rsidR="000906F4">
        <w:rPr>
          <w:lang w:val="en-GB"/>
        </w:rPr>
        <w:t xml:space="preserve"> </w:t>
      </w:r>
      <w:r w:rsidR="000906F4" w:rsidRPr="000906F4">
        <w:rPr>
          <w:lang w:val="en-GB"/>
        </w:rPr>
        <w:t>(directly applicable, no national transposition) rather than</w:t>
      </w:r>
      <w:r w:rsidR="000906F4">
        <w:rPr>
          <w:lang w:val="en-GB"/>
        </w:rPr>
        <w:t xml:space="preserve"> </w:t>
      </w:r>
      <w:r w:rsidR="000906F4" w:rsidRPr="000906F4">
        <w:rPr>
          <w:lang w:val="en-GB"/>
        </w:rPr>
        <w:t>a revised Directive, and toward provisions that would apply to any</w:t>
      </w:r>
      <w:r w:rsidR="000906F4">
        <w:rPr>
          <w:lang w:val="en-GB"/>
        </w:rPr>
        <w:t xml:space="preserve"> </w:t>
      </w:r>
      <w:r w:rsidR="000906F4" w:rsidRPr="000906F4">
        <w:rPr>
          <w:lang w:val="en-GB"/>
        </w:rPr>
        <w:t>company processing EU residents’ data regardless of where the company</w:t>
      </w:r>
      <w:r w:rsidR="000906F4">
        <w:rPr>
          <w:lang w:val="en-GB"/>
        </w:rPr>
        <w:t xml:space="preserve"> </w:t>
      </w:r>
      <w:r w:rsidR="000906F4" w:rsidRPr="000906F4">
        <w:rPr>
          <w:lang w:val="en-GB"/>
        </w:rPr>
        <w:t>is based. Expect the white paper to lean on the Charter of Fundamental</w:t>
      </w:r>
      <w:r w:rsidR="000906F4">
        <w:rPr>
          <w:lang w:val="en-GB"/>
        </w:rPr>
        <w:t xml:space="preserve"> </w:t>
      </w:r>
      <w:r w:rsidR="000906F4" w:rsidRPr="000906F4">
        <w:rPr>
          <w:lang w:val="en-GB"/>
        </w:rPr>
        <w:t xml:space="preserve">Rights, binding since Lisbon, whose Article </w:t>
      </w:r>
      <w:proofErr w:type="gramStart"/>
      <w:r w:rsidR="000906F4" w:rsidRPr="000906F4">
        <w:rPr>
          <w:lang w:val="en-GB"/>
        </w:rPr>
        <w:t>8  treats</w:t>
      </w:r>
      <w:proofErr w:type="gramEnd"/>
      <w:r w:rsidR="000906F4" w:rsidRPr="000906F4">
        <w:rPr>
          <w:lang w:val="en-GB"/>
        </w:rPr>
        <w:t xml:space="preserve"> data</w:t>
      </w:r>
      <w:r w:rsidR="000906F4">
        <w:rPr>
          <w:lang w:val="en-GB"/>
        </w:rPr>
        <w:t xml:space="preserve"> </w:t>
      </w:r>
      <w:r w:rsidR="000906F4" w:rsidRPr="000906F4">
        <w:rPr>
          <w:lang w:val="en-GB"/>
        </w:rPr>
        <w:t>protection as a freestanding fundamental right (distinct from the general</w:t>
      </w:r>
      <w:r w:rsidR="000906F4">
        <w:rPr>
          <w:lang w:val="en-GB"/>
        </w:rPr>
        <w:t xml:space="preserve"> </w:t>
      </w:r>
      <w:r w:rsidR="000906F4" w:rsidRPr="000906F4">
        <w:rPr>
          <w:lang w:val="en-GB"/>
        </w:rPr>
        <w:t xml:space="preserve">privacy right in Article </w:t>
      </w:r>
      <w:proofErr w:type="gramStart"/>
      <w:r w:rsidR="000906F4" w:rsidRPr="000906F4">
        <w:rPr>
          <w:lang w:val="en-GB"/>
        </w:rPr>
        <w:t>7 )</w:t>
      </w:r>
      <w:proofErr w:type="gramEnd"/>
      <w:r w:rsidR="000906F4" w:rsidRPr="000906F4">
        <w:rPr>
          <w:lang w:val="en-GB"/>
        </w:rPr>
        <w:t xml:space="preserve"> — a normative anchor that is hard to</w:t>
      </w:r>
      <w:r w:rsidR="000906F4">
        <w:rPr>
          <w:lang w:val="en-GB"/>
        </w:rPr>
        <w:t xml:space="preserve"> </w:t>
      </w:r>
      <w:r w:rsidR="000906F4" w:rsidRPr="000906F4">
        <w:rPr>
          <w:lang w:val="en-GB"/>
        </w:rPr>
        <w:t>contest on pure market-access grounds</w:t>
      </w:r>
    </w:p>
    <w:p w14:paraId="4B17A4FE" w14:textId="3B1D8DF6" w:rsidR="00B87F55" w:rsidRPr="000906F4" w:rsidRDefault="00000000" w:rsidP="000906F4">
      <w:pPr>
        <w:pStyle w:val="BodyText"/>
        <w:rPr>
          <w:b/>
          <w:bCs/>
          <w:lang w:val="en-GB"/>
        </w:rPr>
      </w:pPr>
      <w:r w:rsidRPr="000906F4">
        <w:rPr>
          <w:b/>
          <w:bCs/>
        </w:rPr>
        <w:t>Discussion questions for your plan</w:t>
      </w:r>
    </w:p>
    <w:p w14:paraId="65218E4C" w14:textId="77777777" w:rsidR="00B87F55" w:rsidRDefault="00000000">
      <w:pPr>
        <w:numPr>
          <w:ilvl w:val="0"/>
          <w:numId w:val="13"/>
        </w:numPr>
      </w:pPr>
      <w:r>
        <w:t>Which Brussels-effect condition is genuinely weakest in 2010, and which is already a lost cause? Defend the choice.</w:t>
      </w:r>
    </w:p>
    <w:p w14:paraId="535CD446" w14:textId="77777777" w:rsidR="00B87F55" w:rsidRDefault="00000000">
      <w:pPr>
        <w:numPr>
          <w:ilvl w:val="0"/>
          <w:numId w:val="13"/>
        </w:numPr>
      </w:pPr>
      <w:r>
        <w:t>Is keeping the Irish DPC as lead regulator a strength or a liability? What would make it backfire?</w:t>
      </w:r>
    </w:p>
    <w:p w14:paraId="2B485307" w14:textId="77777777" w:rsidR="00B87F55" w:rsidRDefault="00000000">
      <w:pPr>
        <w:numPr>
          <w:ilvl w:val="0"/>
          <w:numId w:val="13"/>
        </w:numPr>
      </w:pPr>
      <w:r>
        <w:t>What does Streeck-Thelen’s typology suggest is the most realistic institutional move available to you — and what does the Commission’s most likely move (Directive → Regulation) suggest about how much time you actually have?</w:t>
      </w:r>
    </w:p>
    <w:p w14:paraId="10A605F8" w14:textId="77777777" w:rsidR="00B87F55" w:rsidRDefault="00000000">
      <w:pPr>
        <w:numPr>
          <w:ilvl w:val="0"/>
          <w:numId w:val="13"/>
        </w:numPr>
      </w:pPr>
      <w:r>
        <w:t>Where does “industry” split? Which firms might actually prefer a strict, predictable EU-wide standard over years of legal uncertainty?</w:t>
      </w:r>
    </w:p>
    <w:p w14:paraId="4C3FA714" w14:textId="77777777" w:rsidR="00B87F55" w:rsidRDefault="00000000">
      <w:r>
        <w:br w:type="page"/>
      </w:r>
    </w:p>
    <w:p w14:paraId="2735B424" w14:textId="77777777" w:rsidR="005375E5" w:rsidRDefault="005375E5">
      <w:pPr>
        <w:pStyle w:val="Heading1"/>
      </w:pPr>
      <w:bookmarkStart w:id="7" w:name="X984d22c090b0282e43b82db2ffc86db0a5cc432"/>
      <w:bookmarkEnd w:id="0"/>
      <w:bookmarkEnd w:id="1"/>
      <w:bookmarkEnd w:id="6"/>
    </w:p>
    <w:p w14:paraId="5E44435F" w14:textId="77777777" w:rsidR="005375E5" w:rsidRDefault="005375E5">
      <w:pPr>
        <w:pStyle w:val="Heading1"/>
      </w:pPr>
    </w:p>
    <w:p w14:paraId="641EAF7F" w14:textId="77777777" w:rsidR="005375E5" w:rsidRDefault="005375E5">
      <w:pPr>
        <w:pStyle w:val="Heading1"/>
      </w:pPr>
    </w:p>
    <w:p w14:paraId="08D5C5B3" w14:textId="77777777" w:rsidR="005375E5" w:rsidRDefault="005375E5">
      <w:pPr>
        <w:pStyle w:val="Heading1"/>
      </w:pPr>
    </w:p>
    <w:p w14:paraId="1249D151" w14:textId="77777777" w:rsidR="005375E5" w:rsidRDefault="005375E5">
      <w:pPr>
        <w:pStyle w:val="Heading1"/>
      </w:pPr>
    </w:p>
    <w:p w14:paraId="6DC54061" w14:textId="77777777" w:rsidR="005375E5" w:rsidRDefault="005375E5">
      <w:pPr>
        <w:pStyle w:val="Heading1"/>
      </w:pPr>
    </w:p>
    <w:p w14:paraId="199C90EC" w14:textId="77777777" w:rsidR="005375E5" w:rsidRDefault="005375E5">
      <w:pPr>
        <w:pStyle w:val="Heading1"/>
      </w:pPr>
    </w:p>
    <w:p w14:paraId="42A6EB43" w14:textId="77777777" w:rsidR="005375E5" w:rsidRDefault="005375E5">
      <w:pPr>
        <w:pStyle w:val="Heading1"/>
      </w:pPr>
    </w:p>
    <w:p w14:paraId="3B20CC09" w14:textId="77777777" w:rsidR="005375E5" w:rsidRDefault="005375E5">
      <w:pPr>
        <w:pStyle w:val="Heading1"/>
      </w:pPr>
    </w:p>
    <w:p w14:paraId="5EFA3B71" w14:textId="77777777" w:rsidR="005375E5" w:rsidRDefault="005375E5">
      <w:pPr>
        <w:pStyle w:val="Heading1"/>
      </w:pPr>
    </w:p>
    <w:p w14:paraId="37F6DDA3" w14:textId="77777777" w:rsidR="005375E5" w:rsidRDefault="005375E5">
      <w:pPr>
        <w:pStyle w:val="Heading1"/>
      </w:pPr>
    </w:p>
    <w:p w14:paraId="12461B9C" w14:textId="77777777" w:rsidR="005375E5" w:rsidRDefault="005375E5">
      <w:pPr>
        <w:pStyle w:val="Heading1"/>
      </w:pPr>
    </w:p>
    <w:p w14:paraId="13B26860" w14:textId="77777777" w:rsidR="005375E5" w:rsidRDefault="005375E5">
      <w:pPr>
        <w:pStyle w:val="Heading1"/>
      </w:pPr>
    </w:p>
    <w:p w14:paraId="3EC637BB" w14:textId="77777777" w:rsidR="005375E5" w:rsidRDefault="005375E5">
      <w:pPr>
        <w:pStyle w:val="Heading1"/>
      </w:pPr>
    </w:p>
    <w:p w14:paraId="3217BE16" w14:textId="77777777" w:rsidR="005375E5" w:rsidRDefault="005375E5">
      <w:pPr>
        <w:pStyle w:val="Heading1"/>
      </w:pPr>
    </w:p>
    <w:p w14:paraId="40F975A5" w14:textId="5554D261" w:rsidR="00B87F55" w:rsidRDefault="00000000">
      <w:pPr>
        <w:pStyle w:val="Heading1"/>
      </w:pPr>
      <w:r>
        <w:lastRenderedPageBreak/>
        <w:t>Facebook vs. Brussels, 2010 — Simulation Worksheet</w:t>
      </w:r>
    </w:p>
    <w:p w14:paraId="3D230A71" w14:textId="77777777" w:rsidR="00B87F55" w:rsidRDefault="00000000">
      <w:pPr>
        <w:pStyle w:val="Heading2"/>
      </w:pPr>
      <w:bookmarkStart w:id="8" w:name="european-commission-dg-justice-team"/>
      <w:r>
        <w:t>European Commission — DG Justice Team</w:t>
      </w:r>
    </w:p>
    <w:p w14:paraId="0454602E" w14:textId="77777777" w:rsidR="00B87F55" w:rsidRDefault="00000000">
      <w:r>
        <w:rPr>
          <w:i/>
          <w:iCs/>
        </w:rPr>
        <w:t>IR227 Seminar 8 (simulation variant) — Group worksheet</w:t>
      </w:r>
    </w:p>
    <w:p w14:paraId="33FA70FF" w14:textId="77777777" w:rsidR="00B87F55" w:rsidRDefault="00000000">
      <w:pPr>
        <w:pStyle w:val="Heading3"/>
      </w:pPr>
      <w:bookmarkStart w:id="9" w:name="task-1"/>
      <w:r>
        <w:t>Task</w:t>
      </w:r>
    </w:p>
    <w:p w14:paraId="29CDA787" w14:textId="3E82B945" w:rsidR="00B87F55" w:rsidRDefault="00000000">
      <w:r>
        <w:t xml:space="preserve">It is 2010. The 1995 Data Protection Directive is fifteen years old, implemented into 27 divergent national laws, and silent on social networking, cloud computing, and behavioural advertising. Your team is inside DG Justice, preparing the ground for what will become Commissioner Reding’s white paper on reforming EU data protection. </w:t>
      </w:r>
      <w:r w:rsidRPr="000D3267">
        <w:rPr>
          <w:b/>
          <w:bCs/>
        </w:rPr>
        <w:t xml:space="preserve">Produce a white paper </w:t>
      </w:r>
      <w:r>
        <w:t>built to deliberately produce a Brussels effect — designing the instrument so that avoiding compliance costs firms more than adopting it as their global default.</w:t>
      </w:r>
    </w:p>
    <w:p w14:paraId="51A0A50F" w14:textId="392FC7C3" w:rsidR="00B87F55" w:rsidRDefault="00000000">
      <w:pPr>
        <w:pStyle w:val="BodyText"/>
      </w:pPr>
      <w:r>
        <w:t xml:space="preserve">The analytical tools you will deploy </w:t>
      </w:r>
      <w:proofErr w:type="gramStart"/>
      <w:r>
        <w:t>are:</w:t>
      </w:r>
      <w:proofErr w:type="gramEnd"/>
      <w:r>
        <w:t xml:space="preserve"> Bradford’s five-condition Brussels-effect framework (used here offensively, as a design checklist), Streeck and Thelen’s institutional-change typology.</w:t>
      </w:r>
    </w:p>
    <w:p w14:paraId="1AE90113" w14:textId="77777777" w:rsidR="00B87F55" w:rsidRDefault="00000000">
      <w:pPr>
        <w:pStyle w:val="Heading3"/>
      </w:pPr>
      <w:bookmarkStart w:id="10" w:name="requirements-1"/>
      <w:bookmarkEnd w:id="9"/>
      <w:r>
        <w:t>Requirements</w:t>
      </w:r>
    </w:p>
    <w:p w14:paraId="77DAFA75" w14:textId="77777777" w:rsidR="00B87F55" w:rsidRDefault="00000000">
      <w:r>
        <w:t>Your white paper must include:</w:t>
      </w:r>
    </w:p>
    <w:p w14:paraId="26C7626D" w14:textId="77777777" w:rsidR="00B87F55" w:rsidRDefault="00000000">
      <w:pPr>
        <w:numPr>
          <w:ilvl w:val="0"/>
          <w:numId w:val="14"/>
        </w:numPr>
      </w:pPr>
      <w:r>
        <w:rPr>
          <w:b/>
          <w:bCs/>
        </w:rPr>
        <w:t>Goal.</w:t>
      </w:r>
      <w:r>
        <w:t xml:space="preserve"> State precisely what the reformed instrument must achieve, beyond “stronger data protection.”</w:t>
      </w:r>
    </w:p>
    <w:p w14:paraId="4A17B641" w14:textId="77777777" w:rsidR="00B87F55" w:rsidRDefault="00000000">
      <w:pPr>
        <w:numPr>
          <w:ilvl w:val="0"/>
          <w:numId w:val="14"/>
        </w:numPr>
      </w:pPr>
      <w:r>
        <w:rPr>
          <w:b/>
          <w:bCs/>
        </w:rPr>
        <w:t>Strategy.</w:t>
      </w:r>
      <w:r>
        <w:t xml:space="preserve"> Name which of Bradford’s five conditions your design choices are meant to secure — and be specific about the mechanism. Which condition does choosing a Regulation over a Directive secure? Which does an extraterritorial-scope clause secure? Which do meaningful fines secure? Characterise the institutional move using Streeck and Thelen’s typology — is replacing the Directive with a Regulation displacement, layering, or something else?</w:t>
      </w:r>
    </w:p>
    <w:p w14:paraId="0AB7C078" w14:textId="77777777" w:rsidR="00B87F55" w:rsidRDefault="00000000">
      <w:pPr>
        <w:numPr>
          <w:ilvl w:val="0"/>
          <w:numId w:val="14"/>
        </w:numPr>
      </w:pPr>
      <w:r>
        <w:rPr>
          <w:b/>
          <w:bCs/>
        </w:rPr>
        <w:t>How.</w:t>
      </w:r>
      <w:r>
        <w:t xml:space="preserve"> Concrete institutional moves: the sequence of consultation, the coalition you build with the European Parliament and the Article 29 Working Party, how you neutralise industry’s self-regulation counter-offer, and how you pre-empt US trade-friction pushback.</w:t>
      </w:r>
    </w:p>
    <w:p w14:paraId="465F81CD" w14:textId="77777777" w:rsidR="00B87F55" w:rsidRDefault="00000000">
      <w:r>
        <w:t>Note: this exercise is deliberately under-determined. You will be assessed on the strength of the reasoning chain (goal → strategy tied to specific conditions and mechanisms → concrete institutional tactics), not on whether your side “wins” the plenary confrontation.</w:t>
      </w:r>
    </w:p>
    <w:p w14:paraId="590376E1" w14:textId="77777777" w:rsidR="00B87F55" w:rsidRDefault="00000000">
      <w:pPr>
        <w:pStyle w:val="Heading3"/>
      </w:pPr>
      <w:bookmarkStart w:id="11" w:name="tool-summary-1"/>
      <w:bookmarkEnd w:id="10"/>
      <w:r>
        <w:t>Tool summary</w:t>
      </w:r>
    </w:p>
    <w:p w14:paraId="74F474AB" w14:textId="77777777" w:rsidR="00B87F55" w:rsidRDefault="00000000">
      <w:r>
        <w:rPr>
          <w:b/>
          <w:bCs/>
        </w:rPr>
        <w:t>Brussels-effect conditions (Bradford 2020) — used offensively, as a design checklist.</w:t>
      </w:r>
      <w:r>
        <w:t xml:space="preserve"> For each condition, identify the specific design choice in your instrument meant to secure it.</w:t>
      </w:r>
    </w:p>
    <w:p w14:paraId="612CC9A4" w14:textId="77777777" w:rsidR="00B87F55" w:rsidRDefault="00000000">
      <w:pPr>
        <w:numPr>
          <w:ilvl w:val="0"/>
          <w:numId w:val="15"/>
        </w:numPr>
      </w:pPr>
      <w:r>
        <w:t>Market size — large enough that exclusion is costly.</w:t>
      </w:r>
    </w:p>
    <w:p w14:paraId="0E408CCC" w14:textId="77777777" w:rsidR="00B87F55" w:rsidRDefault="00000000">
      <w:pPr>
        <w:numPr>
          <w:ilvl w:val="0"/>
          <w:numId w:val="15"/>
        </w:numPr>
      </w:pPr>
      <w:r>
        <w:t>Regulatory capacity — institutional capacity to write and enforce.</w:t>
      </w:r>
    </w:p>
    <w:p w14:paraId="5D661705" w14:textId="77777777" w:rsidR="00B87F55" w:rsidRDefault="00000000">
      <w:pPr>
        <w:numPr>
          <w:ilvl w:val="0"/>
          <w:numId w:val="15"/>
        </w:numPr>
      </w:pPr>
      <w:r>
        <w:lastRenderedPageBreak/>
        <w:t>Stringent standards — substantive rules tough enough to bind (not “political will” — that is upstream of capacity, not a condition itself).</w:t>
      </w:r>
    </w:p>
    <w:p w14:paraId="308DFB66" w14:textId="77777777" w:rsidR="00B87F55" w:rsidRDefault="00000000">
      <w:pPr>
        <w:numPr>
          <w:ilvl w:val="0"/>
          <w:numId w:val="15"/>
        </w:numPr>
      </w:pPr>
      <w:r>
        <w:t>Inelastic targets — the regulated population can’t relocate to escape.</w:t>
      </w:r>
    </w:p>
    <w:p w14:paraId="51F25710" w14:textId="77777777" w:rsidR="00B87F55" w:rsidRDefault="00000000">
      <w:pPr>
        <w:numPr>
          <w:ilvl w:val="0"/>
          <w:numId w:val="15"/>
        </w:numPr>
      </w:pPr>
      <w:r>
        <w:t>Non-divisibility — conduct can’t be cheaply segmented by market.</w:t>
      </w:r>
    </w:p>
    <w:p w14:paraId="5902E6F0" w14:textId="77777777" w:rsidR="00B87F55" w:rsidRDefault="00000000">
      <w:r>
        <w:rPr>
          <w:b/>
          <w:bCs/>
        </w:rPr>
        <w:t>Institutional-change mechanisms (Streeck and Thelen 2005; Hacker 2015).</w:t>
      </w:r>
      <w:r>
        <w:t xml:space="preserve"> Drift, conversion, layering, displacement, exhaustion — use these to characterise the move from Directive to Regulation, and to anticipate what kind of resistance each type of move typically draws.</w:t>
      </w:r>
    </w:p>
    <w:p w14:paraId="5F627521" w14:textId="77777777" w:rsidR="00B87F55" w:rsidRDefault="00000000">
      <w:pPr>
        <w:pStyle w:val="BodyText"/>
      </w:pPr>
      <w:r>
        <w:rPr>
          <w:b/>
          <w:bCs/>
        </w:rPr>
        <w:t>Bendiek–Stürzer credibility refinement.</w:t>
      </w:r>
      <w:r>
        <w:t xml:space="preserve"> Diffusion is more credible when it rests on visible internal EU consensus — broad consultation, multi-level bargaining, cross-institutional buy-in — not market size alone. Treat this consensus-building as a deliverable in its own right, not a formality.</w:t>
      </w:r>
    </w:p>
    <w:p w14:paraId="5F345B10" w14:textId="77777777" w:rsidR="00B87F55" w:rsidRDefault="00000000">
      <w:pPr>
        <w:pStyle w:val="Heading3"/>
      </w:pPr>
      <w:bookmarkStart w:id="12" w:name="case-specifics-from-the-role-brief-1"/>
      <w:bookmarkEnd w:id="11"/>
      <w:r>
        <w:t>Case specifics (from the role brief)</w:t>
      </w:r>
    </w:p>
    <w:p w14:paraId="6C94E5AB" w14:textId="26465F9E" w:rsidR="000906F4" w:rsidRPr="000906F4" w:rsidRDefault="000906F4" w:rsidP="000906F4">
      <w:pPr>
        <w:pStyle w:val="BodyText"/>
        <w:rPr>
          <w:i/>
          <w:iCs/>
          <w:lang w:val="en-GB"/>
        </w:rPr>
      </w:pPr>
      <w:r w:rsidRPr="000906F4">
        <w:rPr>
          <w:lang w:val="en-GB"/>
        </w:rPr>
        <w:t>You are the team inside DG Justice preparing the ground for what</w:t>
      </w:r>
      <w:r>
        <w:rPr>
          <w:lang w:val="en-GB"/>
        </w:rPr>
        <w:t xml:space="preserve"> </w:t>
      </w:r>
      <w:r w:rsidRPr="000906F4">
        <w:rPr>
          <w:lang w:val="en-GB"/>
        </w:rPr>
        <w:t xml:space="preserve">will become Commissioner Reding’s November </w:t>
      </w:r>
      <w:proofErr w:type="gramStart"/>
      <w:r w:rsidRPr="000906F4">
        <w:rPr>
          <w:lang w:val="en-GB"/>
        </w:rPr>
        <w:t>2010  Communication</w:t>
      </w:r>
      <w:proofErr w:type="gramEnd"/>
      <w:r w:rsidRPr="000906F4">
        <w:rPr>
          <w:lang w:val="en-GB"/>
        </w:rPr>
        <w:t>,</w:t>
      </w:r>
      <w:r>
        <w:rPr>
          <w:lang w:val="en-GB"/>
        </w:rPr>
        <w:t xml:space="preserve"> </w:t>
      </w:r>
      <w:r w:rsidRPr="000906F4">
        <w:rPr>
          <w:i/>
          <w:iCs/>
          <w:lang w:val="en-GB"/>
        </w:rPr>
        <w:t>A comprehensive approach on personal data protection in the European</w:t>
      </w:r>
      <w:r>
        <w:rPr>
          <w:i/>
          <w:iCs/>
          <w:lang w:val="en-GB"/>
        </w:rPr>
        <w:t xml:space="preserve"> </w:t>
      </w:r>
      <w:r w:rsidRPr="000906F4">
        <w:rPr>
          <w:i/>
          <w:iCs/>
          <w:lang w:val="en-GB"/>
        </w:rPr>
        <w:t>Union</w:t>
      </w:r>
      <w:r w:rsidRPr="000906F4">
        <w:rPr>
          <w:lang w:val="en-GB"/>
        </w:rPr>
        <w:t xml:space="preserve">. The </w:t>
      </w:r>
      <w:proofErr w:type="gramStart"/>
      <w:r w:rsidRPr="000906F4">
        <w:rPr>
          <w:lang w:val="en-GB"/>
        </w:rPr>
        <w:t>1995  Directive</w:t>
      </w:r>
      <w:proofErr w:type="gramEnd"/>
      <w:r w:rsidRPr="000906F4">
        <w:rPr>
          <w:lang w:val="en-GB"/>
        </w:rPr>
        <w:t xml:space="preserve"> has produced </w:t>
      </w:r>
      <w:proofErr w:type="gramStart"/>
      <w:r w:rsidRPr="000906F4">
        <w:rPr>
          <w:lang w:val="en-GB"/>
        </w:rPr>
        <w:t>27  divergent</w:t>
      </w:r>
      <w:proofErr w:type="gramEnd"/>
      <w:r w:rsidRPr="000906F4">
        <w:rPr>
          <w:lang w:val="en-GB"/>
        </w:rPr>
        <w:t xml:space="preserve"> national</w:t>
      </w:r>
      <w:r>
        <w:rPr>
          <w:i/>
          <w:iCs/>
          <w:lang w:val="en-GB"/>
        </w:rPr>
        <w:t xml:space="preserve"> </w:t>
      </w:r>
      <w:r w:rsidRPr="000906F4">
        <w:rPr>
          <w:lang w:val="en-GB"/>
        </w:rPr>
        <w:t>implementations, uneven enforcement, and no answer to social networking,</w:t>
      </w:r>
      <w:r>
        <w:rPr>
          <w:i/>
          <w:iCs/>
          <w:lang w:val="en-GB"/>
        </w:rPr>
        <w:t xml:space="preserve"> </w:t>
      </w:r>
      <w:r w:rsidRPr="000906F4">
        <w:rPr>
          <w:lang w:val="en-GB"/>
        </w:rPr>
        <w:t>cloud computing, or behavioural advertising — none of</w:t>
      </w:r>
      <w:r>
        <w:rPr>
          <w:i/>
          <w:iCs/>
          <w:lang w:val="en-GB"/>
        </w:rPr>
        <w:t xml:space="preserve"> </w:t>
      </w:r>
      <w:r w:rsidRPr="000906F4">
        <w:rPr>
          <w:lang w:val="en-GB"/>
        </w:rPr>
        <w:t>which existed in their current form when the Directive was written</w:t>
      </w:r>
      <w:r>
        <w:rPr>
          <w:lang w:val="en-GB"/>
        </w:rPr>
        <w:t xml:space="preserve">. </w:t>
      </w:r>
      <w:r w:rsidRPr="000906F4">
        <w:rPr>
          <w:lang w:val="en-GB"/>
        </w:rPr>
        <w:t xml:space="preserve">Article </w:t>
      </w:r>
      <w:proofErr w:type="gramStart"/>
      <w:r w:rsidRPr="000906F4">
        <w:rPr>
          <w:lang w:val="en-GB"/>
        </w:rPr>
        <w:t>29  Working</w:t>
      </w:r>
      <w:proofErr w:type="gramEnd"/>
      <w:r w:rsidRPr="000906F4">
        <w:rPr>
          <w:lang w:val="en-GB"/>
        </w:rPr>
        <w:t xml:space="preserve"> Party opinions (including its </w:t>
      </w:r>
      <w:proofErr w:type="gramStart"/>
      <w:r w:rsidRPr="000906F4">
        <w:rPr>
          <w:lang w:val="en-GB"/>
        </w:rPr>
        <w:t>2009  opinion</w:t>
      </w:r>
      <w:proofErr w:type="gramEnd"/>
      <w:r w:rsidRPr="000906F4">
        <w:rPr>
          <w:lang w:val="en-GB"/>
        </w:rPr>
        <w:t xml:space="preserve"> on</w:t>
      </w:r>
      <w:r>
        <w:rPr>
          <w:i/>
          <w:iCs/>
          <w:lang w:val="en-GB"/>
        </w:rPr>
        <w:t xml:space="preserve"> </w:t>
      </w:r>
      <w:r w:rsidRPr="000906F4">
        <w:rPr>
          <w:lang w:val="en-GB"/>
        </w:rPr>
        <w:t>social-networking services) and a stream of national DPA complaints</w:t>
      </w:r>
      <w:r>
        <w:rPr>
          <w:i/>
          <w:iCs/>
          <w:lang w:val="en-GB"/>
        </w:rPr>
        <w:t xml:space="preserve"> </w:t>
      </w:r>
      <w:r w:rsidRPr="000906F4">
        <w:rPr>
          <w:lang w:val="en-GB"/>
        </w:rPr>
        <w:t xml:space="preserve">about Facebook’s December </w:t>
      </w:r>
      <w:proofErr w:type="gramStart"/>
      <w:r w:rsidRPr="000906F4">
        <w:rPr>
          <w:lang w:val="en-GB"/>
        </w:rPr>
        <w:t>2009  privacy</w:t>
      </w:r>
      <w:proofErr w:type="gramEnd"/>
      <w:r w:rsidRPr="000906F4">
        <w:rPr>
          <w:lang w:val="en-GB"/>
        </w:rPr>
        <w:t>-default changes have made</w:t>
      </w:r>
      <w:r>
        <w:rPr>
          <w:i/>
          <w:iCs/>
          <w:lang w:val="en-GB"/>
        </w:rPr>
        <w:t xml:space="preserve"> </w:t>
      </w:r>
      <w:r w:rsidRPr="000906F4">
        <w:rPr>
          <w:lang w:val="en-GB"/>
        </w:rPr>
        <w:t>the enforcement gap politically visible.</w:t>
      </w:r>
    </w:p>
    <w:p w14:paraId="18C2D69C" w14:textId="77777777" w:rsidR="000906F4" w:rsidRDefault="000906F4" w:rsidP="000906F4">
      <w:pPr>
        <w:pStyle w:val="BodyText"/>
        <w:rPr>
          <w:lang w:val="en-GB"/>
        </w:rPr>
      </w:pPr>
      <w:r w:rsidRPr="000906F4">
        <w:rPr>
          <w:lang w:val="en-GB"/>
        </w:rPr>
        <w:t xml:space="preserve">The Lisbon Treaty (in force December </w:t>
      </w:r>
      <w:proofErr w:type="gramStart"/>
      <w:r w:rsidRPr="000906F4">
        <w:rPr>
          <w:lang w:val="en-GB"/>
        </w:rPr>
        <w:t>2009 )</w:t>
      </w:r>
      <w:proofErr w:type="gramEnd"/>
      <w:r w:rsidRPr="000906F4">
        <w:rPr>
          <w:lang w:val="en-GB"/>
        </w:rPr>
        <w:t xml:space="preserve"> hands you two new instruments</w:t>
      </w:r>
      <w:r>
        <w:rPr>
          <w:lang w:val="en-GB"/>
        </w:rPr>
        <w:t xml:space="preserve"> </w:t>
      </w:r>
      <w:r w:rsidRPr="000906F4">
        <w:rPr>
          <w:lang w:val="en-GB"/>
        </w:rPr>
        <w:t>you did not have before: the ordinary legislative procedure</w:t>
      </w:r>
      <w:r>
        <w:rPr>
          <w:lang w:val="en-GB"/>
        </w:rPr>
        <w:t xml:space="preserve"> </w:t>
      </w:r>
      <w:r w:rsidRPr="000906F4">
        <w:rPr>
          <w:lang w:val="en-GB"/>
        </w:rPr>
        <w:t>now covers this file, giving the European Parliament’s LIBE Committee</w:t>
      </w:r>
      <w:r>
        <w:rPr>
          <w:lang w:val="en-GB"/>
        </w:rPr>
        <w:t xml:space="preserve"> </w:t>
      </w:r>
      <w:r w:rsidRPr="000906F4">
        <w:rPr>
          <w:lang w:val="en-GB"/>
        </w:rPr>
        <w:t>genuine co-decision power rather than a consultative role; and the</w:t>
      </w:r>
      <w:r>
        <w:rPr>
          <w:lang w:val="en-GB"/>
        </w:rPr>
        <w:t xml:space="preserve"> </w:t>
      </w:r>
      <w:r w:rsidRPr="000906F4">
        <w:rPr>
          <w:lang w:val="en-GB"/>
        </w:rPr>
        <w:t>Charter of Fundamental Rights is now legally binding, with Article 8</w:t>
      </w:r>
      <w:r>
        <w:rPr>
          <w:lang w:val="en-GB"/>
        </w:rPr>
        <w:t xml:space="preserve"> </w:t>
      </w:r>
      <w:r w:rsidRPr="000906F4">
        <w:rPr>
          <w:lang w:val="en-GB"/>
        </w:rPr>
        <w:t>treating data protection as a fundamental right in its own right, separate</w:t>
      </w:r>
      <w:r>
        <w:rPr>
          <w:lang w:val="en-GB"/>
        </w:rPr>
        <w:t xml:space="preserve"> </w:t>
      </w:r>
      <w:r w:rsidRPr="000906F4">
        <w:rPr>
          <w:lang w:val="en-GB"/>
        </w:rPr>
        <w:t>from Article 7 ’s general privacy right. Both change what kind of</w:t>
      </w:r>
      <w:r>
        <w:rPr>
          <w:lang w:val="en-GB"/>
        </w:rPr>
        <w:t xml:space="preserve"> </w:t>
      </w:r>
      <w:r w:rsidRPr="000906F4">
        <w:rPr>
          <w:lang w:val="en-GB"/>
        </w:rPr>
        <w:t>instrument you can credibly propose.</w:t>
      </w:r>
    </w:p>
    <w:p w14:paraId="494B1D5E" w14:textId="77777777" w:rsidR="000906F4" w:rsidRDefault="000906F4" w:rsidP="000906F4">
      <w:pPr>
        <w:pStyle w:val="BodyText"/>
        <w:rPr>
          <w:lang w:val="en-GB"/>
        </w:rPr>
      </w:pPr>
    </w:p>
    <w:p w14:paraId="010BFA8F" w14:textId="05AFEE06" w:rsidR="00B87F55" w:rsidRPr="000906F4" w:rsidRDefault="00000000" w:rsidP="000906F4">
      <w:pPr>
        <w:pStyle w:val="BodyText"/>
        <w:rPr>
          <w:lang w:val="en-GB"/>
        </w:rPr>
      </w:pPr>
      <w:r>
        <w:rPr>
          <w:b/>
          <w:bCs/>
        </w:rPr>
        <w:t>Institutional landscape to work with:</w:t>
      </w:r>
      <w:r>
        <w:t xml:space="preserve"> European Parliament LIBE Committee (new co-legislator); Council of the EU / 27 member states (divergent enforcement traditions and divergent appetite for a Regulation vs. another Directive); Article 29 Working Party (a natural technical-consensus partner, and a friction point if the Irish DPA is seen as too close to the firms it regulates); DG CONNECT/DG INFSO (an internal counterweight you need buy-in from); civil-society groups (EDRi, BEUC) as a low-cost, high-credibility coalition partner; Facebook, Google, and the Brussels tech lobby (EDiMA, DigitalEurope) as the audience you’re trying to bind; the US government (USTR, Commerce Department), which will treat extraterritorial scope as a trade-friction issue; member states with strong existing DPAs (e.g. Germany) as natural allies for a stringent standard.</w:t>
      </w:r>
    </w:p>
    <w:p w14:paraId="4397E257" w14:textId="77777777" w:rsidR="00B87F55" w:rsidRDefault="00000000">
      <w:pPr>
        <w:pStyle w:val="BodyText"/>
      </w:pPr>
      <w:r>
        <w:rPr>
          <w:b/>
          <w:bCs/>
        </w:rPr>
        <w:lastRenderedPageBreak/>
        <w:t>Intelligence on Facebook:</w:t>
      </w:r>
      <w:r>
        <w:t xml:space="preserve"> Facebook has just hired its first serious Brussels policy lead (a former MP) and is consolidating its EU operations under an Irish subsidiary, positioning a comparatively resource-constrained national regulator as its lead supervisor. Expect Facebook and its industry allies to argue for self-regulation and industry codes of conduct instead of binding law, to invoke jobs and innovation, to lobby individual member states rather than confront the Commission directly, and to use the Safe Harbor framework and transatlantic trade channels as leverage.</w:t>
      </w:r>
    </w:p>
    <w:p w14:paraId="34D30BC2" w14:textId="77777777" w:rsidR="00B87F55" w:rsidRDefault="00000000">
      <w:pPr>
        <w:pStyle w:val="Heading3"/>
      </w:pPr>
      <w:bookmarkStart w:id="13" w:name="discussion-questions-for-your-plan-1"/>
      <w:bookmarkEnd w:id="12"/>
      <w:r>
        <w:t>Discussion questions for your plan</w:t>
      </w:r>
    </w:p>
    <w:p w14:paraId="1F76E2DA" w14:textId="77777777" w:rsidR="00B87F55" w:rsidRDefault="00000000">
      <w:pPr>
        <w:numPr>
          <w:ilvl w:val="0"/>
          <w:numId w:val="16"/>
        </w:numPr>
      </w:pPr>
      <w:r>
        <w:t>Why does a Regulation (directly applicable, no national transposition) secure the non-divisibility and regulatory-capacity conditions in a way a revised Directive cannot?</w:t>
      </w:r>
    </w:p>
    <w:p w14:paraId="2EE982B6" w14:textId="77777777" w:rsidR="00B87F55" w:rsidRDefault="00000000">
      <w:pPr>
        <w:numPr>
          <w:ilvl w:val="0"/>
          <w:numId w:val="16"/>
        </w:numPr>
      </w:pPr>
      <w:r>
        <w:t>What specifically does an extraterritorial-scope clause do to the “inelastic targets” condition — and why is that the condition industry will fight hardest to weaken?</w:t>
      </w:r>
    </w:p>
    <w:p w14:paraId="4F485ED3" w14:textId="77777777" w:rsidR="00B87F55" w:rsidRDefault="00000000">
      <w:pPr>
        <w:numPr>
          <w:ilvl w:val="0"/>
          <w:numId w:val="16"/>
        </w:numPr>
      </w:pPr>
      <w:r>
        <w:t>How do you use the Lisbon Treaty’s new co-decision procedure and the binding Charter of Fundamental Rights to build the internal-consensus case Bendiek and Stürzer describe?</w:t>
      </w:r>
    </w:p>
    <w:p w14:paraId="266AB545" w14:textId="77777777" w:rsidR="00B87F55" w:rsidRDefault="00000000">
      <w:pPr>
        <w:numPr>
          <w:ilvl w:val="0"/>
          <w:numId w:val="16"/>
        </w:numPr>
      </w:pPr>
      <w:r>
        <w:t>What is your answer to the self-regulation counter-offer industry will make? Why isn’t it enough?</w:t>
      </w:r>
    </w:p>
    <w:p w14:paraId="66B8F221" w14:textId="77777777" w:rsidR="00B87F55" w:rsidRDefault="00000000">
      <w:r>
        <w:br w:type="page"/>
      </w:r>
      <w:bookmarkEnd w:id="7"/>
      <w:bookmarkEnd w:id="8"/>
      <w:bookmarkEnd w:id="13"/>
    </w:p>
    <w:sectPr w:rsidR="00B87F55"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65073A" w14:textId="77777777" w:rsidR="002337B9" w:rsidRDefault="002337B9">
      <w:pPr>
        <w:spacing w:after="0" w:line="240" w:lineRule="auto"/>
      </w:pPr>
      <w:r>
        <w:separator/>
      </w:r>
    </w:p>
  </w:endnote>
  <w:endnote w:type="continuationSeparator" w:id="0">
    <w:p w14:paraId="177031B2" w14:textId="77777777" w:rsidR="002337B9" w:rsidRDefault="00233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BB9BF3" w14:textId="77777777" w:rsidR="002337B9" w:rsidRDefault="002337B9">
      <w:r>
        <w:separator/>
      </w:r>
    </w:p>
  </w:footnote>
  <w:footnote w:type="continuationSeparator" w:id="0">
    <w:p w14:paraId="6A00A712" w14:textId="77777777" w:rsidR="002337B9" w:rsidRDefault="00233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A990"/>
    <w:multiLevelType w:val="multilevel"/>
    <w:tmpl w:val="56508BF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0" w15:restartNumberingAfterBreak="0">
    <w:nsid w:val="0000A991"/>
    <w:multiLevelType w:val="multilevel"/>
    <w:tmpl w:val="AF1A280A"/>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1" w15:restartNumberingAfterBreak="0">
    <w:nsid w:val="00A99411"/>
    <w:multiLevelType w:val="multilevel"/>
    <w:tmpl w:val="AECE90F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16cid:durableId="1973555985">
    <w:abstractNumId w:val="8"/>
  </w:num>
  <w:num w:numId="2" w16cid:durableId="1366563869">
    <w:abstractNumId w:val="6"/>
  </w:num>
  <w:num w:numId="3" w16cid:durableId="1202668815">
    <w:abstractNumId w:val="5"/>
  </w:num>
  <w:num w:numId="4" w16cid:durableId="892079298">
    <w:abstractNumId w:val="4"/>
  </w:num>
  <w:num w:numId="5" w16cid:durableId="1506898117">
    <w:abstractNumId w:val="7"/>
  </w:num>
  <w:num w:numId="6" w16cid:durableId="2120489874">
    <w:abstractNumId w:val="3"/>
  </w:num>
  <w:num w:numId="7" w16cid:durableId="1656684556">
    <w:abstractNumId w:val="2"/>
  </w:num>
  <w:num w:numId="8" w16cid:durableId="505946227">
    <w:abstractNumId w:val="1"/>
  </w:num>
  <w:num w:numId="9" w16cid:durableId="617180631">
    <w:abstractNumId w:val="0"/>
  </w:num>
  <w:num w:numId="10" w16cid:durableId="1050154483">
    <w:abstractNumId w:val="9"/>
  </w:num>
  <w:num w:numId="11" w16cid:durableId="11813172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8436295">
    <w:abstractNumId w:val="10"/>
  </w:num>
  <w:num w:numId="13" w16cid:durableId="951518719">
    <w:abstractNumId w:val="10"/>
  </w:num>
  <w:num w:numId="14" w16cid:durableId="19710123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8988453">
    <w:abstractNumId w:val="10"/>
  </w:num>
  <w:num w:numId="16" w16cid:durableId="606427707">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06F4"/>
    <w:rsid w:val="000D3267"/>
    <w:rsid w:val="00144EE3"/>
    <w:rsid w:val="0015074B"/>
    <w:rsid w:val="002337B9"/>
    <w:rsid w:val="0025775B"/>
    <w:rsid w:val="0029639D"/>
    <w:rsid w:val="00326F90"/>
    <w:rsid w:val="005375E5"/>
    <w:rsid w:val="005D1614"/>
    <w:rsid w:val="00896889"/>
    <w:rsid w:val="00A623E7"/>
    <w:rsid w:val="00AA1D8D"/>
    <w:rsid w:val="00B47730"/>
    <w:rsid w:val="00B87F55"/>
    <w:rsid w:val="00CB0664"/>
    <w:rsid w:val="00D416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E0D14D"/>
  <w15:docId w15:val="{FEF44EBA-F3AD-E74C-9C3C-7D977719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6F4"/>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customStyle="1" w:styleId="KeywordTok0">
    <w:name w:val="KeywordTok"/>
    <w:rPr>
      <w:b/>
      <w:color w:val="007020"/>
    </w:rPr>
  </w:style>
  <w:style w:type="character" w:customStyle="1" w:styleId="DataTypeTok0">
    <w:name w:val="DataTypeTok"/>
    <w:rPr>
      <w:color w:val="902000"/>
    </w:rPr>
  </w:style>
  <w:style w:type="character" w:customStyle="1" w:styleId="DecValTok0">
    <w:name w:val="DecValTok"/>
    <w:rPr>
      <w:color w:val="40A070"/>
    </w:rPr>
  </w:style>
  <w:style w:type="character" w:customStyle="1" w:styleId="BaseNTok0">
    <w:name w:val="BaseNTok"/>
    <w:rPr>
      <w:color w:val="40A070"/>
    </w:rPr>
  </w:style>
  <w:style w:type="character" w:customStyle="1" w:styleId="FloatTok0">
    <w:name w:val="FloatTok"/>
    <w:rPr>
      <w:color w:val="40A070"/>
    </w:rPr>
  </w:style>
  <w:style w:type="character" w:customStyle="1" w:styleId="ConstantTok0">
    <w:name w:val="ConstantTok"/>
    <w:rPr>
      <w:color w:val="880000"/>
    </w:rPr>
  </w:style>
  <w:style w:type="character" w:customStyle="1" w:styleId="CharTok0">
    <w:name w:val="CharTok"/>
    <w:rPr>
      <w:color w:val="4070A0"/>
    </w:rPr>
  </w:style>
  <w:style w:type="character" w:customStyle="1" w:styleId="SpecialCharTok0">
    <w:name w:val="SpecialCharTok"/>
    <w:rPr>
      <w:color w:val="4070A0"/>
    </w:rPr>
  </w:style>
  <w:style w:type="character" w:customStyle="1" w:styleId="StringTok0">
    <w:name w:val="StringTok"/>
    <w:rPr>
      <w:color w:val="4070A0"/>
    </w:rPr>
  </w:style>
  <w:style w:type="character" w:customStyle="1" w:styleId="VerbatimStringTok0">
    <w:name w:val="VerbatimStringTok"/>
    <w:rPr>
      <w:color w:val="4070A0"/>
    </w:rPr>
  </w:style>
  <w:style w:type="character" w:customStyle="1" w:styleId="SpecialStringTok0">
    <w:name w:val="SpecialStringTok"/>
    <w:rPr>
      <w:color w:val="BB6688"/>
    </w:rPr>
  </w:style>
  <w:style w:type="character" w:customStyle="1" w:styleId="ImportTok0">
    <w:name w:val="ImportTok"/>
    <w:rPr>
      <w:b/>
      <w:color w:val="008000"/>
    </w:rPr>
  </w:style>
  <w:style w:type="character" w:customStyle="1" w:styleId="CommentTok0">
    <w:name w:val="CommentTok"/>
    <w:rPr>
      <w:i/>
      <w:color w:val="60A0B0"/>
    </w:rPr>
  </w:style>
  <w:style w:type="character" w:customStyle="1" w:styleId="DocumentationTok0">
    <w:name w:val="DocumentationTok"/>
    <w:rPr>
      <w:i/>
      <w:color w:val="BA2121"/>
    </w:rPr>
  </w:style>
  <w:style w:type="character" w:customStyle="1" w:styleId="AnnotationTok0">
    <w:name w:val="AnnotationTok"/>
    <w:rPr>
      <w:b/>
      <w:i/>
      <w:color w:val="60A0B0"/>
    </w:rPr>
  </w:style>
  <w:style w:type="character" w:customStyle="1" w:styleId="CommentVarTok0">
    <w:name w:val="CommentVarTok"/>
    <w:rPr>
      <w:b/>
      <w:i/>
      <w:color w:val="60A0B0"/>
    </w:rPr>
  </w:style>
  <w:style w:type="character" w:customStyle="1" w:styleId="OtherTok0">
    <w:name w:val="OtherTok"/>
    <w:rPr>
      <w:color w:val="007020"/>
    </w:rPr>
  </w:style>
  <w:style w:type="character" w:customStyle="1" w:styleId="FunctionTok0">
    <w:name w:val="FunctionTok"/>
    <w:rPr>
      <w:color w:val="06287E"/>
    </w:rPr>
  </w:style>
  <w:style w:type="character" w:customStyle="1" w:styleId="VariableTok0">
    <w:name w:val="VariableTok"/>
    <w:rPr>
      <w:color w:val="19177C"/>
    </w:rPr>
  </w:style>
  <w:style w:type="character" w:customStyle="1" w:styleId="ControlFlowTok0">
    <w:name w:val="ControlFlowTok"/>
    <w:rPr>
      <w:b/>
      <w:color w:val="007020"/>
    </w:rPr>
  </w:style>
  <w:style w:type="character" w:customStyle="1" w:styleId="OperatorTok0">
    <w:name w:val="OperatorTok"/>
    <w:rPr>
      <w:color w:val="666666"/>
    </w:rPr>
  </w:style>
  <w:style w:type="character" w:customStyle="1" w:styleId="BuiltInTok0">
    <w:name w:val="BuiltInTok"/>
    <w:rPr>
      <w:color w:val="008000"/>
    </w:rPr>
  </w:style>
  <w:style w:type="character" w:customStyle="1" w:styleId="ExtensionTok0">
    <w:name w:val="ExtensionTok"/>
  </w:style>
  <w:style w:type="character" w:customStyle="1" w:styleId="PreprocessorTok0">
    <w:name w:val="PreprocessorTok"/>
    <w:rPr>
      <w:color w:val="BC7A00"/>
    </w:rPr>
  </w:style>
  <w:style w:type="character" w:customStyle="1" w:styleId="AttributeTok0">
    <w:name w:val="AttributeTok"/>
    <w:rPr>
      <w:color w:val="7D9029"/>
    </w:rPr>
  </w:style>
  <w:style w:type="character" w:customStyle="1" w:styleId="RegionMarkerTok0">
    <w:name w:val="RegionMarkerTok"/>
  </w:style>
  <w:style w:type="character" w:customStyle="1" w:styleId="InformationTok0">
    <w:name w:val="InformationTok"/>
    <w:rPr>
      <w:b/>
      <w:i/>
      <w:color w:val="60A0B0"/>
    </w:rPr>
  </w:style>
  <w:style w:type="character" w:customStyle="1" w:styleId="WarningTok0">
    <w:name w:val="WarningTok"/>
    <w:rPr>
      <w:b/>
      <w:i/>
      <w:color w:val="60A0B0"/>
    </w:rPr>
  </w:style>
  <w:style w:type="character" w:customStyle="1" w:styleId="AlertTok0">
    <w:name w:val="AlertTok"/>
    <w:rPr>
      <w:b/>
      <w:color w:val="FF0000"/>
    </w:rPr>
  </w:style>
  <w:style w:type="character" w:customStyle="1" w:styleId="ErrorTok0">
    <w:name w:val="ErrorTok"/>
    <w:rPr>
      <w:b/>
      <w:color w:val="FF0000"/>
    </w:rPr>
  </w:style>
  <w:style w:type="character" w:customStyle="1" w:styleId="NormalTok0">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1975</Words>
  <Characters>11262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Pro,E (pgr)</dc:creator>
  <cp:keywords/>
  <cp:lastModifiedBy>Pro,E (pgr)</cp:lastModifiedBy>
  <cp:revision>3</cp:revision>
  <dcterms:created xsi:type="dcterms:W3CDTF">2026-07-22T09:34:00Z</dcterms:created>
  <dcterms:modified xsi:type="dcterms:W3CDTF">2026-07-22T09:34:00Z</dcterms:modified>
</cp:coreProperties>
</file>