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4acf3371f3eff625d864924a552675758fb3c6"/>
    <w:p>
      <w:pPr>
        <w:pStyle w:val="Heading1"/>
      </w:pPr>
      <w:r>
        <w:t xml:space="preserve">Conditions for Environmental-Governance Success — Worksheet</w:t>
      </w:r>
    </w:p>
    <w:bookmarkStart w:id="25" w:name="X60e322476e0852a4c12f304c7976427b2a99e35"/>
    <w:p>
      <w:pPr>
        <w:pStyle w:val="Heading2"/>
      </w:pPr>
      <w:r>
        <w:t xml:space="preserve">Montreal Protocol + Kigali Amendment — International atmospheric regimes pair</w:t>
      </w:r>
    </w:p>
    <w:p>
      <w:pPr>
        <w:pStyle w:val="FirstParagraph"/>
      </w:pPr>
      <w:r>
        <w:rPr>
          <w:i/>
          <w:iCs/>
        </w:rPr>
        <w:t xml:space="preserve">IR227 Seminar 7 — Group worksheet</w:t>
      </w:r>
    </w:p>
    <w:bookmarkStart w:id="20" w:name="task"/>
    <w:p>
      <w:pPr>
        <w:pStyle w:val="Heading3"/>
      </w:pPr>
      <w:r>
        <w:t xml:space="preserve">Task</w:t>
      </w:r>
    </w:p>
    <w:p>
      <w:pPr>
        <w:pStyle w:val="FirstParagraph"/>
      </w:pPr>
      <w:r>
        <w:t xml:space="preserve">Take your assigned environmental-governance case and apply the conditions-for-success checklist. Identify what’s present, what’s missing, and deliver a status verdict — succeeding, partially succeeding, or stalled.</w:t>
      </w:r>
    </w:p>
    <w:p>
      <w:pPr>
        <w:pStyle w:val="BodyText"/>
      </w:pPr>
      <w:r>
        <w:t xml:space="preserve">The analytical tools you will deploy are: the seven-condition checklist for environmental-governance success (anchored in Haas’s epistemic-communities framework and Young’s regime-effectiveness synthesis), and the</w:t>
      </w:r>
      <w:r>
        <w:t xml:space="preserve"> </w:t>
      </w:r>
      <w:r>
        <w:t xml:space="preserve">“</w:t>
      </w:r>
      <w:r>
        <w:t xml:space="preserve">industry as a variable, not just an opponent</w:t>
      </w:r>
      <w:r>
        <w:t xml:space="preserve">”</w:t>
      </w:r>
      <w:r>
        <w:t xml:space="preserve"> </w:t>
      </w:r>
      <w:r>
        <w:t xml:space="preserve">lens.</w:t>
      </w:r>
    </w:p>
    <w:bookmarkEnd w:id="20"/>
    <w:bookmarkStart w:id="21" w:name="requirements"/>
    <w:p>
      <w:pPr>
        <w:pStyle w:val="Heading3"/>
      </w:pPr>
      <w:r>
        <w:t xml:space="preserve">Requirements</w:t>
      </w:r>
    </w:p>
    <w:p>
      <w:pPr>
        <w:pStyle w:val="Compact"/>
        <w:numPr>
          <w:ilvl w:val="0"/>
          <w:numId w:val="1001"/>
        </w:numPr>
      </w:pPr>
      <w:r>
        <w:t xml:space="preserve">for each of the seven conditions on the checklist, identify whether it is present, partially present, or absent, with evidence from the case,</w:t>
      </w:r>
    </w:p>
    <w:p>
      <w:pPr>
        <w:pStyle w:val="Compact"/>
        <w:numPr>
          <w:ilvl w:val="0"/>
          <w:numId w:val="1001"/>
        </w:numPr>
      </w:pPr>
      <w:r>
        <w:t xml:space="preserve">identify the binding constraint — the missing or unfavourable condition that most explains the case’s outcome,</w:t>
      </w:r>
    </w:p>
    <w:p>
      <w:pPr>
        <w:pStyle w:val="Compact"/>
        <w:numPr>
          <w:ilvl w:val="0"/>
          <w:numId w:val="1001"/>
        </w:numPr>
      </w:pPr>
      <w:r>
        <w:t xml:space="preserve">deliver a status verdict (succeeding / partially succeeding / stalled) that follows from the conditions assessment, and</w:t>
      </w:r>
    </w:p>
    <w:p>
      <w:pPr>
        <w:pStyle w:val="Compact"/>
        <w:numPr>
          <w:ilvl w:val="0"/>
          <w:numId w:val="1001"/>
        </w:numPr>
      </w:pPr>
      <w:r>
        <w:t xml:space="preserve">close with a brief reflection on what the case implies for the climate-governance challenge in Lecture 9.</w:t>
      </w:r>
    </w:p>
    <w:p>
      <w:pPr>
        <w:pStyle w:val="FirstParagraph"/>
      </w:pPr>
      <w:r>
        <w:t xml:space="preserve">Note: these cases are deliberately under-determined. There is no single correct verdict — you will be assessed on the strength of the reasoning chain (conditions assessment → binding constraint → status verdict → climate reflection), not on which verdict you reach.</w:t>
      </w:r>
    </w:p>
    <w:bookmarkEnd w:id="21"/>
    <w:bookmarkStart w:id="22" w:name="tool-summary"/>
    <w:p>
      <w:pPr>
        <w:pStyle w:val="Heading3"/>
      </w:pPr>
      <w:r>
        <w:t xml:space="preserve">Tool summary</w:t>
      </w:r>
    </w:p>
    <w:p>
      <w:pPr>
        <w:pStyle w:val="FirstParagraph"/>
      </w:pPr>
      <w:r>
        <w:rPr>
          <w:b/>
          <w:bCs/>
        </w:rPr>
        <w:t xml:space="preserve">Conditions for success (after Haas 1992; Young 2011).</w:t>
      </w:r>
      <w:r>
        <w:t xml:space="preserve"> </w:t>
      </w:r>
      <w:r>
        <w:t xml:space="preserve">Ask, for each condition, whether it is present, partially present, or absent in your case — and which condition is the binding constraint.</w:t>
      </w:r>
    </w:p>
    <w:p>
      <w:pPr>
        <w:pStyle w:val="Compact"/>
        <w:numPr>
          <w:ilvl w:val="0"/>
          <w:numId w:val="1002"/>
        </w:numPr>
      </w:pPr>
      <w:r>
        <w:t xml:space="preserve">Scientific consensus + epistemic community.</w:t>
      </w:r>
    </w:p>
    <w:p>
      <w:pPr>
        <w:pStyle w:val="Compact"/>
        <w:numPr>
          <w:ilvl w:val="0"/>
          <w:numId w:val="1002"/>
        </w:numPr>
      </w:pPr>
      <w:r>
        <w:t xml:space="preserve">Concentrated industry / actors.</w:t>
      </w:r>
    </w:p>
    <w:p>
      <w:pPr>
        <w:pStyle w:val="Compact"/>
        <w:numPr>
          <w:ilvl w:val="0"/>
          <w:numId w:val="1002"/>
        </w:numPr>
      </w:pPr>
      <w:r>
        <w:t xml:space="preserve">Available technological substitutes.</w:t>
      </w:r>
    </w:p>
    <w:p>
      <w:pPr>
        <w:pStyle w:val="Compact"/>
        <w:numPr>
          <w:ilvl w:val="0"/>
          <w:numId w:val="1002"/>
        </w:numPr>
      </w:pPr>
      <w:r>
        <w:t xml:space="preserve">Asymmetric costs favouring cooperation.</w:t>
      </w:r>
    </w:p>
    <w:p>
      <w:pPr>
        <w:pStyle w:val="Compact"/>
        <w:numPr>
          <w:ilvl w:val="0"/>
          <w:numId w:val="1002"/>
        </w:numPr>
      </w:pPr>
      <w:r>
        <w:t xml:space="preserve">Distributional mechanisms.</w:t>
      </w:r>
    </w:p>
    <w:p>
      <w:pPr>
        <w:pStyle w:val="Compact"/>
        <w:numPr>
          <w:ilvl w:val="0"/>
          <w:numId w:val="1002"/>
        </w:numPr>
      </w:pPr>
      <w:r>
        <w:t xml:space="preserve">Institutional design (monitoring, verification, enforcement).</w:t>
      </w:r>
    </w:p>
    <w:p>
      <w:pPr>
        <w:pStyle w:val="Compact"/>
        <w:numPr>
          <w:ilvl w:val="0"/>
          <w:numId w:val="1002"/>
        </w:numPr>
      </w:pPr>
      <w:r>
        <w:t xml:space="preserve">Political leadership.</w:t>
      </w:r>
    </w:p>
    <w:p>
      <w:pPr>
        <w:pStyle w:val="FirstParagraph"/>
      </w:pPr>
      <w:r>
        <w:rPr>
          <w:b/>
          <w:bCs/>
        </w:rPr>
        <w:t xml:space="preserve">Epistemic community (Haas 1992).</w:t>
      </w:r>
      <w:r>
        <w:t xml:space="preserve"> </w:t>
      </w:r>
      <w:r>
        <w:t xml:space="preserve">More than scientific consensus alone — a network with shared normative and causal beliefs, shared standards for validating knowledge, and a common policy enterprise, connected into the policy process.</w:t>
      </w:r>
    </w:p>
    <w:p>
      <w:pPr>
        <w:pStyle w:val="BodyText"/>
      </w:pPr>
      <w:r>
        <w:rPr>
          <w:b/>
          <w:bCs/>
        </w:rPr>
        <w:t xml:space="preserve">Industry as a variable (Kennard 2020).</w:t>
      </w:r>
      <w:r>
        <w:t xml:space="preserve"> </w:t>
      </w:r>
      <w:r>
        <w:t xml:space="preserve">Industry is not monolithically opposed to environmental regulation. Firms whose compliance costs are lower than their rivals’ can gain from regulation and lobby for it. Identify which firms (if any) are on which side of your case, and whether the pro-regulation ones have been mobilised.</w:t>
      </w:r>
    </w:p>
    <w:bookmarkEnd w:id="22"/>
    <w:bookmarkStart w:id="23" w:name="case-specifics-from-the-case-pack"/>
    <w:p>
      <w:pPr>
        <w:pStyle w:val="Heading3"/>
      </w:pPr>
      <w:r>
        <w:t xml:space="preserve">Case specifics (from the case pack)</w:t>
      </w:r>
    </w:p>
    <w:p>
      <w:pPr>
        <w:pStyle w:val="FirstParagraph"/>
      </w:pPr>
      <w:r>
        <w:t xml:space="preserve">The Montreal Protocol on Substances that Deplete the Ozone Layer was signed in 1987 and entered into force in 1989. It set out to phase out the production and consumption of CFCs and other ozone-depleting substances, and went on to achieve universal ratification. In 2016 it was extended through the Kigali Amendment to phase down hydrofluorocarbons (HFCs) — chemicals that do not themselves deplete the ozone layer but are potent greenhouse gases. The case is one of the most closely studied in the international environmental-governance literature, and offers a benchmark against which to compare the other cases in this seminar.</w:t>
      </w:r>
    </w:p>
    <w:p>
      <w:pPr>
        <w:pStyle w:val="BodyText"/>
      </w:pPr>
      <w:r>
        <w:rPr>
          <w:b/>
          <w:bCs/>
        </w:rPr>
        <w:t xml:space="preserve">Case: the agency’s data</w:t>
      </w:r>
    </w:p>
    <w:p>
      <w:pPr>
        <w:pStyle w:val="Compact"/>
        <w:numPr>
          <w:ilvl w:val="0"/>
          <w:numId w:val="1003"/>
        </w:numPr>
      </w:pPr>
      <w:r>
        <w:t xml:space="preserve">Origins: the 1974 Molina–Rowland hypothesis linking CFCs to ozone depletion; the 1985 discovery of the Antarctic ozone hole as a focusing event; growing scientific attention through 1985–1987.</w:t>
      </w:r>
    </w:p>
    <w:p>
      <w:pPr>
        <w:pStyle w:val="Compact"/>
        <w:numPr>
          <w:ilvl w:val="0"/>
          <w:numId w:val="1003"/>
        </w:numPr>
      </w:pPr>
      <w:r>
        <w:t xml:space="preserve">Producers: roughly 10 major CFC producers worldwide, including DuPont, ICI, Allied-Signal, Atochem, Hoechst, Asahi Glass, and Showa Denko.</w:t>
      </w:r>
    </w:p>
    <w:p>
      <w:pPr>
        <w:pStyle w:val="Compact"/>
        <w:numPr>
          <w:ilvl w:val="0"/>
          <w:numId w:val="1003"/>
        </w:numPr>
      </w:pPr>
      <w:r>
        <w:t xml:space="preserve">Chemistry: HFCs and HCFCs had emerged by the mid-1980s; HFOs and natural refrigerants emerged later for the Kigali phase-down.</w:t>
      </w:r>
    </w:p>
    <w:p>
      <w:pPr>
        <w:pStyle w:val="Compact"/>
        <w:numPr>
          <w:ilvl w:val="0"/>
          <w:numId w:val="1003"/>
        </w:numPr>
      </w:pPr>
      <w:r>
        <w:t xml:space="preserve">Multilateral Fund: established by the London Amendment (1990); cumulative disbursement of approximately US$3.9bn through 2025 against cumulative contributions of approximately US$4.9bn; central to securing Indian and Chinese participation.</w:t>
      </w:r>
    </w:p>
    <w:p>
      <w:pPr>
        <w:pStyle w:val="Compact"/>
        <w:numPr>
          <w:ilvl w:val="0"/>
          <w:numId w:val="1003"/>
        </w:numPr>
      </w:pPr>
      <w:r>
        <w:t xml:space="preserve">International bodies: a UNEP secretariat, regular Meetings of the Parties, a Scientific Assessment Panel, a Technology and Economic Assessment Panel, and an Implementation Committee.</w:t>
      </w:r>
    </w:p>
    <w:p>
      <w:pPr>
        <w:pStyle w:val="Compact"/>
        <w:numPr>
          <w:ilvl w:val="0"/>
          <w:numId w:val="1003"/>
        </w:numPr>
      </w:pPr>
      <w:r>
        <w:t xml:space="preserve">Government actors: the Reagan-era EPA on the original protocol; the Obama and Modi governments on the Kigali Amendment.</w:t>
      </w:r>
    </w:p>
    <w:p>
      <w:pPr>
        <w:pStyle w:val="Compact"/>
        <w:numPr>
          <w:ilvl w:val="0"/>
          <w:numId w:val="1003"/>
        </w:numPr>
      </w:pPr>
      <w:r>
        <w:t xml:space="preserve">Recent developments: Kigali ratifications have continued to accumulate; monitoring in 2018 identified unauthorised CFC-11 emissions originating in East China, which prompted enforcement action.</w:t>
      </w:r>
    </w:p>
    <w:bookmarkEnd w:id="23"/>
    <w:bookmarkStart w:id="24" w:name="discussion-questions-from-the-case-pack"/>
    <w:p>
      <w:pPr>
        <w:pStyle w:val="Heading3"/>
      </w:pPr>
      <w:r>
        <w:t xml:space="preserve">Discussion questions from the case pack</w:t>
      </w:r>
    </w:p>
    <w:p>
      <w:pPr>
        <w:pStyle w:val="Compact"/>
        <w:numPr>
          <w:ilvl w:val="0"/>
          <w:numId w:val="1004"/>
        </w:numPr>
      </w:pPr>
      <w:r>
        <w:t xml:space="preserve">For each of the seven conditions, what’s your verdict — present, partially present, or absent? Where is the case strongest, and where is it weakest?</w:t>
      </w:r>
    </w:p>
    <w:p>
      <w:pPr>
        <w:pStyle w:val="Compact"/>
        <w:numPr>
          <w:ilvl w:val="0"/>
          <w:numId w:val="1004"/>
        </w:numPr>
      </w:pPr>
      <w:r>
        <w:t xml:space="preserve">The binding constraint has reportedly shifted over time — from an early science-to-policy translation problem, to a later implementation and compliance problem (the Kigali extension, the East China CFC-11 episode). Does the evidence support that reading?</w:t>
      </w:r>
    </w:p>
    <w:p>
      <w:pPr>
        <w:pStyle w:val="Compact"/>
        <w:numPr>
          <w:ilvl w:val="0"/>
          <w:numId w:val="1004"/>
        </w:numPr>
      </w:pPr>
      <w:r>
        <w:t xml:space="preserve">Climate reflection: which of the seven conditions does the climate-governance challenge share with this case, and on which does it look weakest? What does that imply for climate strategy?</w:t>
      </w:r>
    </w:p>
    <w:p>
      <w:r>
        <w:br w:type="page"/>
      </w:r>
    </w:p>
    <w:bookmarkEnd w:id="24"/>
    <w:bookmarkEnd w:id="25"/>
    <w:bookmarkEnd w:id="26"/>
    <w:bookmarkStart w:id="33" w:name="X4519a23b696105e41512627c216125bed92e8f1"/>
    <w:p>
      <w:pPr>
        <w:pStyle w:val="Heading1"/>
      </w:pPr>
      <w:r>
        <w:t xml:space="preserve">Conditions for Environmental-Governance Success — Worksheet</w:t>
      </w:r>
    </w:p>
    <w:bookmarkStart w:id="32" w:name="Xc2cf5d8e3e40563b8eeda41626f8979d278a33f"/>
    <w:p>
      <w:pPr>
        <w:pStyle w:val="Heading2"/>
      </w:pPr>
      <w:r>
        <w:t xml:space="preserve">Minamata Convention on Mercury — International atmospheric regimes pair</w:t>
      </w:r>
    </w:p>
    <w:p>
      <w:pPr>
        <w:pStyle w:val="FirstParagraph"/>
      </w:pPr>
      <w:r>
        <w:rPr>
          <w:i/>
          <w:iCs/>
        </w:rPr>
        <w:t xml:space="preserve">IR227 Seminar 7 — Group worksheet</w:t>
      </w:r>
    </w:p>
    <w:bookmarkStart w:id="27" w:name="task-1"/>
    <w:p>
      <w:pPr>
        <w:pStyle w:val="Heading3"/>
      </w:pPr>
      <w:r>
        <w:t xml:space="preserve">Task</w:t>
      </w:r>
    </w:p>
    <w:p>
      <w:pPr>
        <w:pStyle w:val="FirstParagraph"/>
      </w:pPr>
      <w:r>
        <w:t xml:space="preserve">Take your assigned environmental-governance case and apply the conditions-for-success checklist. Identify what’s present, what’s missing, and deliver a status verdict — succeeding, partially succeeding, or stalled.</w:t>
      </w:r>
    </w:p>
    <w:p>
      <w:pPr>
        <w:pStyle w:val="BodyText"/>
      </w:pPr>
      <w:r>
        <w:t xml:space="preserve">The analytical tools you will deploy are: the seven-condition checklist for environmental-governance success (anchored in Haas’s epistemic-communities framework and Young’s regime-effectiveness synthesis), and the</w:t>
      </w:r>
      <w:r>
        <w:t xml:space="preserve"> </w:t>
      </w:r>
      <w:r>
        <w:t xml:space="preserve">“</w:t>
      </w:r>
      <w:r>
        <w:t xml:space="preserve">industry as a variable, not just an opponent</w:t>
      </w:r>
      <w:r>
        <w:t xml:space="preserve">”</w:t>
      </w:r>
      <w:r>
        <w:t xml:space="preserve"> </w:t>
      </w:r>
      <w:r>
        <w:t xml:space="preserve">lens.</w:t>
      </w:r>
    </w:p>
    <w:bookmarkEnd w:id="27"/>
    <w:bookmarkStart w:id="28" w:name="requirements-1"/>
    <w:p>
      <w:pPr>
        <w:pStyle w:val="Heading3"/>
      </w:pPr>
      <w:r>
        <w:t xml:space="preserve">Requirements</w:t>
      </w:r>
    </w:p>
    <w:p>
      <w:pPr>
        <w:pStyle w:val="Compact"/>
        <w:numPr>
          <w:ilvl w:val="0"/>
          <w:numId w:val="1005"/>
        </w:numPr>
      </w:pPr>
      <w:r>
        <w:t xml:space="preserve">for each of the seven conditions on the checklist, identify whether it is present, partially present, or absent, with evidence from the case,</w:t>
      </w:r>
    </w:p>
    <w:p>
      <w:pPr>
        <w:pStyle w:val="Compact"/>
        <w:numPr>
          <w:ilvl w:val="0"/>
          <w:numId w:val="1005"/>
        </w:numPr>
      </w:pPr>
      <w:r>
        <w:t xml:space="preserve">identify the binding constraint — the missing or unfavourable condition that most explains the case’s outcome,</w:t>
      </w:r>
    </w:p>
    <w:p>
      <w:pPr>
        <w:pStyle w:val="Compact"/>
        <w:numPr>
          <w:ilvl w:val="0"/>
          <w:numId w:val="1005"/>
        </w:numPr>
      </w:pPr>
      <w:r>
        <w:t xml:space="preserve">deliver a status verdict (succeeding / partially succeeding / stalled) that follows from the conditions assessment, and</w:t>
      </w:r>
    </w:p>
    <w:p>
      <w:pPr>
        <w:pStyle w:val="Compact"/>
        <w:numPr>
          <w:ilvl w:val="0"/>
          <w:numId w:val="1005"/>
        </w:numPr>
      </w:pPr>
      <w:r>
        <w:t xml:space="preserve">close with a brief reflection on what the case implies for the climate-governance challenge in Lecture 9.</w:t>
      </w:r>
    </w:p>
    <w:p>
      <w:pPr>
        <w:pStyle w:val="FirstParagraph"/>
      </w:pPr>
      <w:r>
        <w:t xml:space="preserve">Note: these cases are deliberately under-determined. There is no single correct verdict — you will be assessed on the strength of the reasoning chain (conditions assessment → binding constraint → status verdict → climate reflection), not on which verdict you reach.</w:t>
      </w:r>
    </w:p>
    <w:bookmarkEnd w:id="28"/>
    <w:bookmarkStart w:id="29" w:name="tool-summary-1"/>
    <w:p>
      <w:pPr>
        <w:pStyle w:val="Heading3"/>
      </w:pPr>
      <w:r>
        <w:t xml:space="preserve">Tool summary</w:t>
      </w:r>
    </w:p>
    <w:p>
      <w:pPr>
        <w:pStyle w:val="FirstParagraph"/>
      </w:pPr>
      <w:r>
        <w:rPr>
          <w:b/>
          <w:bCs/>
        </w:rPr>
        <w:t xml:space="preserve">Conditions for success (after Haas 1992; Young 2011).</w:t>
      </w:r>
      <w:r>
        <w:t xml:space="preserve"> </w:t>
      </w:r>
      <w:r>
        <w:t xml:space="preserve">Ask, for each condition, whether it is present, partially present, or absent in your case — and which condition is the binding constraint.</w:t>
      </w:r>
    </w:p>
    <w:p>
      <w:pPr>
        <w:pStyle w:val="Compact"/>
        <w:numPr>
          <w:ilvl w:val="0"/>
          <w:numId w:val="1006"/>
        </w:numPr>
      </w:pPr>
      <w:r>
        <w:t xml:space="preserve">Scientific consensus + epistemic community.</w:t>
      </w:r>
    </w:p>
    <w:p>
      <w:pPr>
        <w:pStyle w:val="Compact"/>
        <w:numPr>
          <w:ilvl w:val="0"/>
          <w:numId w:val="1006"/>
        </w:numPr>
      </w:pPr>
      <w:r>
        <w:t xml:space="preserve">Concentrated industry / actors.</w:t>
      </w:r>
    </w:p>
    <w:p>
      <w:pPr>
        <w:pStyle w:val="Compact"/>
        <w:numPr>
          <w:ilvl w:val="0"/>
          <w:numId w:val="1006"/>
        </w:numPr>
      </w:pPr>
      <w:r>
        <w:t xml:space="preserve">Available technological substitutes.</w:t>
      </w:r>
    </w:p>
    <w:p>
      <w:pPr>
        <w:pStyle w:val="Compact"/>
        <w:numPr>
          <w:ilvl w:val="0"/>
          <w:numId w:val="1006"/>
        </w:numPr>
      </w:pPr>
      <w:r>
        <w:t xml:space="preserve">Asymmetric costs favouring cooperation.</w:t>
      </w:r>
    </w:p>
    <w:p>
      <w:pPr>
        <w:pStyle w:val="Compact"/>
        <w:numPr>
          <w:ilvl w:val="0"/>
          <w:numId w:val="1006"/>
        </w:numPr>
      </w:pPr>
      <w:r>
        <w:t xml:space="preserve">Distributional mechanisms.</w:t>
      </w:r>
    </w:p>
    <w:p>
      <w:pPr>
        <w:pStyle w:val="Compact"/>
        <w:numPr>
          <w:ilvl w:val="0"/>
          <w:numId w:val="1006"/>
        </w:numPr>
      </w:pPr>
      <w:r>
        <w:t xml:space="preserve">Institutional design (monitoring, verification, enforcement).</w:t>
      </w:r>
    </w:p>
    <w:p>
      <w:pPr>
        <w:pStyle w:val="Compact"/>
        <w:numPr>
          <w:ilvl w:val="0"/>
          <w:numId w:val="1006"/>
        </w:numPr>
      </w:pPr>
      <w:r>
        <w:t xml:space="preserve">Political leadership.</w:t>
      </w:r>
    </w:p>
    <w:p>
      <w:pPr>
        <w:pStyle w:val="FirstParagraph"/>
      </w:pPr>
      <w:r>
        <w:rPr>
          <w:b/>
          <w:bCs/>
        </w:rPr>
        <w:t xml:space="preserve">Epistemic community (Haas 1992).</w:t>
      </w:r>
      <w:r>
        <w:t xml:space="preserve"> </w:t>
      </w:r>
      <w:r>
        <w:t xml:space="preserve">More than scientific consensus alone — a network with shared normative and causal beliefs, shared standards for validating knowledge, and a common policy enterprise, connected into the policy process.</w:t>
      </w:r>
    </w:p>
    <w:p>
      <w:pPr>
        <w:pStyle w:val="BodyText"/>
      </w:pPr>
      <w:r>
        <w:rPr>
          <w:b/>
          <w:bCs/>
        </w:rPr>
        <w:t xml:space="preserve">Industry as a variable (Kennard 2020).</w:t>
      </w:r>
      <w:r>
        <w:t xml:space="preserve"> </w:t>
      </w:r>
      <w:r>
        <w:t xml:space="preserve">Industry is not monolithically opposed to environmental regulation. Firms whose compliance costs are lower than their rivals’ can gain from regulation and lobby for it. Identify which firms (if any) are on which side of your case, and whether the pro-regulation ones have been mobilised.</w:t>
      </w:r>
    </w:p>
    <w:bookmarkEnd w:id="29"/>
    <w:bookmarkStart w:id="30" w:name="case-specifics-from-the-case-pack-1"/>
    <w:p>
      <w:pPr>
        <w:pStyle w:val="Heading3"/>
      </w:pPr>
      <w:r>
        <w:t xml:space="preserve">Case specifics (from the case pack)</w:t>
      </w:r>
    </w:p>
    <w:p>
      <w:pPr>
        <w:pStyle w:val="FirstParagraph"/>
      </w:pPr>
      <w:r>
        <w:t xml:space="preserve">The Minamata Convention on Mercury was signed in 2013 and entered into force in 2017. It takes its name from the Japanese town where industrial mercury discharge caused severe health effects from the 1950s onward. The treaty regulates mercury production, trade, use, emissions, and waste, including phase-out provisions for specific mercury-added products and processes. It borrows institutionally from the Montreal Protocol template, including a dedicated financial mechanism (the Special Programme). Haas’s epistemic-communities framework is the relevant diagnostic lens for assessing the toxicology, atmospheric-chemistry, and environmental-health networks involved in the case.</w:t>
      </w:r>
    </w:p>
    <w:p>
      <w:pPr>
        <w:pStyle w:val="BodyText"/>
      </w:pPr>
      <w:r>
        <w:rPr>
          <w:b/>
          <w:bCs/>
        </w:rPr>
        <w:t xml:space="preserve">Case: the agency’s data</w:t>
      </w:r>
    </w:p>
    <w:p>
      <w:pPr>
        <w:pStyle w:val="Compact"/>
        <w:numPr>
          <w:ilvl w:val="0"/>
          <w:numId w:val="1007"/>
        </w:numPr>
      </w:pPr>
      <w:r>
        <w:t xml:space="preserve">Origins: a 2001 UNEP Governing Council decision to assess mercury globally; a 2003 Global Mercury Assessment report; a 2009 negotiating mandate; negotiations from 2010 to 2013.</w:t>
      </w:r>
    </w:p>
    <w:p>
      <w:pPr>
        <w:pStyle w:val="Compact"/>
        <w:numPr>
          <w:ilvl w:val="0"/>
          <w:numId w:val="1007"/>
        </w:numPr>
      </w:pPr>
      <w:r>
        <w:t xml:space="preserve">Producers and users: industrial mercury use (chlor-alkali production, dental amalgam, specific manufacturing processes) sits with a relatively small number of firms and sectors. Artisanal and small-scale gold mining (ASGM) is the largest mercury-use sector globally, employing an estimated 10–15 million miners across more than 80 countries.</w:t>
      </w:r>
    </w:p>
    <w:p>
      <w:pPr>
        <w:pStyle w:val="Compact"/>
        <w:numPr>
          <w:ilvl w:val="0"/>
          <w:numId w:val="1007"/>
        </w:numPr>
      </w:pPr>
      <w:r>
        <w:t xml:space="preserve">Technology: alternatives exist for most industrial uses (membrane chlor-alkali processes, alternative dental materials, alternatives to mercury thermometers and switches). Alternatives for ASGM exist but require economic options that are not always accessible to miners.</w:t>
      </w:r>
    </w:p>
    <w:p>
      <w:pPr>
        <w:pStyle w:val="Compact"/>
        <w:numPr>
          <w:ilvl w:val="0"/>
          <w:numId w:val="1007"/>
        </w:numPr>
      </w:pPr>
      <w:r>
        <w:t xml:space="preserve">Cost distribution: industrial-use phase-outs draw on accessible alternative technologies. ASGM phase-out affects the livelihoods of millions of miners who have fewer accessible alternatives.</w:t>
      </w:r>
    </w:p>
    <w:p>
      <w:pPr>
        <w:pStyle w:val="Compact"/>
        <w:numPr>
          <w:ilvl w:val="0"/>
          <w:numId w:val="1007"/>
        </w:numPr>
      </w:pPr>
      <w:r>
        <w:t xml:space="preserve">Special Programme: a relatively modest fund (on the order of US$50m cumulative) plus GEF allocations for mercury projects.</w:t>
      </w:r>
    </w:p>
    <w:p>
      <w:pPr>
        <w:pStyle w:val="Compact"/>
        <w:numPr>
          <w:ilvl w:val="0"/>
          <w:numId w:val="1007"/>
        </w:numPr>
      </w:pPr>
      <w:r>
        <w:t xml:space="preserve">International bodies: a UNEP secretariat, Conferences of the Parties, an Implementation and Compliance Committee, and periodic Effectiveness Evaluation Reports.</w:t>
      </w:r>
    </w:p>
    <w:p>
      <w:pPr>
        <w:pStyle w:val="Compact"/>
        <w:numPr>
          <w:ilvl w:val="0"/>
          <w:numId w:val="1007"/>
        </w:numPr>
      </w:pPr>
      <w:r>
        <w:t xml:space="preserve">Government actors: government representatives concluded the treaty at the 2013 Kumamoto conference; the degree of sustained political attention to implementation has differed across signatory states.</w:t>
      </w:r>
    </w:p>
    <w:p>
      <w:pPr>
        <w:pStyle w:val="Compact"/>
        <w:numPr>
          <w:ilvl w:val="0"/>
          <w:numId w:val="1007"/>
        </w:numPr>
      </w:pPr>
      <w:r>
        <w:t xml:space="preserve">Progress to 2025: many industrial-use provisions have moved toward the phase-out timelines set by the treaty. Work on the ASGM provisions has proceeded more slowly, with continued negotiation over alternatives and livelihood support.</w:t>
      </w:r>
    </w:p>
    <w:bookmarkEnd w:id="30"/>
    <w:bookmarkStart w:id="31" w:name="X4cf3b874869529e6c61abdce607a1eefc2e0dc7"/>
    <w:p>
      <w:pPr>
        <w:pStyle w:val="Heading3"/>
      </w:pPr>
      <w:r>
        <w:t xml:space="preserve">Discussion questions from the case pack</w:t>
      </w:r>
    </w:p>
    <w:p>
      <w:pPr>
        <w:pStyle w:val="Compact"/>
        <w:numPr>
          <w:ilvl w:val="0"/>
          <w:numId w:val="1008"/>
        </w:numPr>
      </w:pPr>
      <w:r>
        <w:t xml:space="preserve">Apply the seven-condition checklist. Where is the case strongest, and where is it weakest?</w:t>
      </w:r>
    </w:p>
    <w:p>
      <w:pPr>
        <w:pStyle w:val="Compact"/>
        <w:numPr>
          <w:ilvl w:val="0"/>
          <w:numId w:val="1008"/>
        </w:numPr>
      </w:pPr>
      <w:r>
        <w:t xml:space="preserve">The case shows real internal variation across its components. Where do you see the sharpest differences, and what explains them?</w:t>
      </w:r>
    </w:p>
    <w:p>
      <w:pPr>
        <w:pStyle w:val="Compact"/>
        <w:numPr>
          <w:ilvl w:val="0"/>
          <w:numId w:val="1008"/>
        </w:numPr>
      </w:pPr>
      <w:r>
        <w:t xml:space="preserve">Compare to Montreal: same archetype — how do the two cases’ conditions actually differ, and where (if anywhere) are they similar?</w:t>
      </w:r>
    </w:p>
    <w:p>
      <w:pPr>
        <w:pStyle w:val="Compact"/>
        <w:numPr>
          <w:ilvl w:val="0"/>
          <w:numId w:val="1008"/>
        </w:numPr>
      </w:pPr>
      <w:r>
        <w:t xml:space="preserve">Climate reflection: the ASGM component of this case shares several structural features with climate’s diffuse-source challenge — many small actors, livelihood dependence, and an underdeveloped distributional mechanism. What does Minamata’s trajectory suggest for climate strategy?</w:t>
      </w:r>
    </w:p>
    <w:p>
      <w:r>
        <w:br w:type="page"/>
      </w:r>
    </w:p>
    <w:bookmarkEnd w:id="31"/>
    <w:bookmarkEnd w:id="32"/>
    <w:bookmarkEnd w:id="33"/>
    <w:bookmarkStart w:id="40" w:name="X62973ad8d5218efa473fbd1e918d6a5d188bb55"/>
    <w:p>
      <w:pPr>
        <w:pStyle w:val="Heading1"/>
      </w:pPr>
      <w:r>
        <w:t xml:space="preserve">Conditions for Environmental-Governance Success — Worksheet</w:t>
      </w:r>
    </w:p>
    <w:bookmarkStart w:id="39" w:name="Xa9bd75f375e4ba40fe740554b83ec3e8fa33130"/>
    <w:p>
      <w:pPr>
        <w:pStyle w:val="Heading2"/>
      </w:pPr>
      <w:r>
        <w:t xml:space="preserve">US Clean Air Act SO2 cap-and-trade — Market-based emissions instruments pair</w:t>
      </w:r>
    </w:p>
    <w:p>
      <w:pPr>
        <w:pStyle w:val="FirstParagraph"/>
      </w:pPr>
      <w:r>
        <w:rPr>
          <w:i/>
          <w:iCs/>
        </w:rPr>
        <w:t xml:space="preserve">IR227 Seminar 7 — Group worksheet</w:t>
      </w:r>
    </w:p>
    <w:bookmarkStart w:id="34" w:name="task-2"/>
    <w:p>
      <w:pPr>
        <w:pStyle w:val="Heading3"/>
      </w:pPr>
      <w:r>
        <w:t xml:space="preserve">Task</w:t>
      </w:r>
    </w:p>
    <w:p>
      <w:pPr>
        <w:pStyle w:val="FirstParagraph"/>
      </w:pPr>
      <w:r>
        <w:t xml:space="preserve">Take your assigned environmental-governance case and apply the conditions-for-success checklist. Identify what’s present, what’s missing, and deliver a status verdict — succeeding, partially succeeding, or stalled.</w:t>
      </w:r>
    </w:p>
    <w:p>
      <w:pPr>
        <w:pStyle w:val="BodyText"/>
      </w:pPr>
      <w:r>
        <w:t xml:space="preserve">The analytical tools you will deploy are: the seven-condition checklist for environmental-governance success (anchored in Haas’s epistemic-communities framework and Young’s regime-effectiveness synthesis), and the</w:t>
      </w:r>
      <w:r>
        <w:t xml:space="preserve"> </w:t>
      </w:r>
      <w:r>
        <w:t xml:space="preserve">“</w:t>
      </w:r>
      <w:r>
        <w:t xml:space="preserve">industry as a variable, not just an opponent</w:t>
      </w:r>
      <w:r>
        <w:t xml:space="preserve">”</w:t>
      </w:r>
      <w:r>
        <w:t xml:space="preserve"> </w:t>
      </w:r>
      <w:r>
        <w:t xml:space="preserve">lens.</w:t>
      </w:r>
    </w:p>
    <w:bookmarkEnd w:id="34"/>
    <w:bookmarkStart w:id="35" w:name="requirements-2"/>
    <w:p>
      <w:pPr>
        <w:pStyle w:val="Heading3"/>
      </w:pPr>
      <w:r>
        <w:t xml:space="preserve">Requirements</w:t>
      </w:r>
    </w:p>
    <w:p>
      <w:pPr>
        <w:pStyle w:val="Compact"/>
        <w:numPr>
          <w:ilvl w:val="0"/>
          <w:numId w:val="1009"/>
        </w:numPr>
      </w:pPr>
      <w:r>
        <w:t xml:space="preserve">for each of the seven conditions on the checklist, identify whether it is present, partially present, or absent, with evidence from the case,</w:t>
      </w:r>
    </w:p>
    <w:p>
      <w:pPr>
        <w:pStyle w:val="Compact"/>
        <w:numPr>
          <w:ilvl w:val="0"/>
          <w:numId w:val="1009"/>
        </w:numPr>
      </w:pPr>
      <w:r>
        <w:t xml:space="preserve">identify the binding constraint — the missing or unfavourable condition that most explains the case’s outcome,</w:t>
      </w:r>
    </w:p>
    <w:p>
      <w:pPr>
        <w:pStyle w:val="Compact"/>
        <w:numPr>
          <w:ilvl w:val="0"/>
          <w:numId w:val="1009"/>
        </w:numPr>
      </w:pPr>
      <w:r>
        <w:t xml:space="preserve">deliver a status verdict (succeeding / partially succeeding / stalled) that follows from the conditions assessment, and</w:t>
      </w:r>
    </w:p>
    <w:p>
      <w:pPr>
        <w:pStyle w:val="Compact"/>
        <w:numPr>
          <w:ilvl w:val="0"/>
          <w:numId w:val="1009"/>
        </w:numPr>
      </w:pPr>
      <w:r>
        <w:t xml:space="preserve">close with a brief reflection on what the case implies for the climate-governance challenge in Lecture 9.</w:t>
      </w:r>
    </w:p>
    <w:p>
      <w:pPr>
        <w:pStyle w:val="FirstParagraph"/>
      </w:pPr>
      <w:r>
        <w:t xml:space="preserve">Note: these cases are deliberately under-determined. There is no single correct verdict — you will be assessed on the strength of the reasoning chain (conditions assessment → binding constraint → status verdict → climate reflection), not on which verdict you reach.</w:t>
      </w:r>
    </w:p>
    <w:bookmarkEnd w:id="35"/>
    <w:bookmarkStart w:id="36" w:name="tool-summary-2"/>
    <w:p>
      <w:pPr>
        <w:pStyle w:val="Heading3"/>
      </w:pPr>
      <w:r>
        <w:t xml:space="preserve">Tool summary</w:t>
      </w:r>
    </w:p>
    <w:p>
      <w:pPr>
        <w:pStyle w:val="FirstParagraph"/>
      </w:pPr>
      <w:r>
        <w:rPr>
          <w:b/>
          <w:bCs/>
        </w:rPr>
        <w:t xml:space="preserve">Conditions for success (after Haas 1992; Young 2011).</w:t>
      </w:r>
      <w:r>
        <w:t xml:space="preserve"> </w:t>
      </w:r>
      <w:r>
        <w:t xml:space="preserve">Ask, for each condition, whether it is present, partially present, or absent in your case — and which condition is the binding constraint.</w:t>
      </w:r>
    </w:p>
    <w:p>
      <w:pPr>
        <w:pStyle w:val="Compact"/>
        <w:numPr>
          <w:ilvl w:val="0"/>
          <w:numId w:val="1010"/>
        </w:numPr>
      </w:pPr>
      <w:r>
        <w:t xml:space="preserve">Scientific consensus + epistemic community.</w:t>
      </w:r>
    </w:p>
    <w:p>
      <w:pPr>
        <w:pStyle w:val="Compact"/>
        <w:numPr>
          <w:ilvl w:val="0"/>
          <w:numId w:val="1010"/>
        </w:numPr>
      </w:pPr>
      <w:r>
        <w:t xml:space="preserve">Concentrated industry / actors.</w:t>
      </w:r>
    </w:p>
    <w:p>
      <w:pPr>
        <w:pStyle w:val="Compact"/>
        <w:numPr>
          <w:ilvl w:val="0"/>
          <w:numId w:val="1010"/>
        </w:numPr>
      </w:pPr>
      <w:r>
        <w:t xml:space="preserve">Available technological substitutes.</w:t>
      </w:r>
    </w:p>
    <w:p>
      <w:pPr>
        <w:pStyle w:val="Compact"/>
        <w:numPr>
          <w:ilvl w:val="0"/>
          <w:numId w:val="1010"/>
        </w:numPr>
      </w:pPr>
      <w:r>
        <w:t xml:space="preserve">Asymmetric costs favouring cooperation.</w:t>
      </w:r>
    </w:p>
    <w:p>
      <w:pPr>
        <w:pStyle w:val="Compact"/>
        <w:numPr>
          <w:ilvl w:val="0"/>
          <w:numId w:val="1010"/>
        </w:numPr>
      </w:pPr>
      <w:r>
        <w:t xml:space="preserve">Distributional mechanisms.</w:t>
      </w:r>
    </w:p>
    <w:p>
      <w:pPr>
        <w:pStyle w:val="Compact"/>
        <w:numPr>
          <w:ilvl w:val="0"/>
          <w:numId w:val="1010"/>
        </w:numPr>
      </w:pPr>
      <w:r>
        <w:t xml:space="preserve">Institutional design (monitoring, verification, enforcement).</w:t>
      </w:r>
    </w:p>
    <w:p>
      <w:pPr>
        <w:pStyle w:val="Compact"/>
        <w:numPr>
          <w:ilvl w:val="0"/>
          <w:numId w:val="1010"/>
        </w:numPr>
      </w:pPr>
      <w:r>
        <w:t xml:space="preserve">Political leadership.</w:t>
      </w:r>
    </w:p>
    <w:p>
      <w:pPr>
        <w:pStyle w:val="FirstParagraph"/>
      </w:pPr>
      <w:r>
        <w:rPr>
          <w:b/>
          <w:bCs/>
        </w:rPr>
        <w:t xml:space="preserve">Epistemic community (Haas 1992).</w:t>
      </w:r>
      <w:r>
        <w:t xml:space="preserve"> </w:t>
      </w:r>
      <w:r>
        <w:t xml:space="preserve">More than scientific consensus alone — a network with shared normative and causal beliefs, shared standards for validating knowledge, and a common policy enterprise, connected into the policy process.</w:t>
      </w:r>
    </w:p>
    <w:p>
      <w:pPr>
        <w:pStyle w:val="BodyText"/>
      </w:pPr>
      <w:r>
        <w:rPr>
          <w:b/>
          <w:bCs/>
        </w:rPr>
        <w:t xml:space="preserve">Industry as a variable (Kennard 2020).</w:t>
      </w:r>
      <w:r>
        <w:t xml:space="preserve"> </w:t>
      </w:r>
      <w:r>
        <w:t xml:space="preserve">Industry is not monolithically opposed to environmental regulation. Firms whose compliance costs are lower than their rivals’ can gain from regulation and lobby for it. Identify which firms (if any) are on which side of your case, and whether the pro-regulation ones have been mobilised.</w:t>
      </w:r>
    </w:p>
    <w:bookmarkEnd w:id="36"/>
    <w:bookmarkStart w:id="37" w:name="case-specifics-from-the-case-pack-2"/>
    <w:p>
      <w:pPr>
        <w:pStyle w:val="Heading3"/>
      </w:pPr>
      <w:r>
        <w:t xml:space="preserve">Case specifics (from the case pack)</w:t>
      </w:r>
    </w:p>
    <w:p>
      <w:pPr>
        <w:pStyle w:val="FirstParagraph"/>
      </w:pPr>
      <w:r>
        <w:t xml:space="preserve">The 1990 Clean Air Act Amendments introduced a cap-and-trade programme for sulphur-dioxide emissions — the first large-scale cap-and-trade programme applied to an air pollutant. Title IV of the amendments set an aggregate cap on SO2 emissions from covered electric power plants, allocated tradeable allowances, and allowed firms to trade among themselves. The programme ran for roughly three decades, with compliance monitored through Continuous Emissions Monitoring Systems installed at covered plants.</w:t>
      </w:r>
    </w:p>
    <w:p>
      <w:pPr>
        <w:pStyle w:val="BodyText"/>
      </w:pPr>
      <w:r>
        <w:rPr>
          <w:b/>
          <w:bCs/>
        </w:rPr>
        <w:t xml:space="preserve">Case: the agency’s data</w:t>
      </w:r>
    </w:p>
    <w:p>
      <w:pPr>
        <w:pStyle w:val="Compact"/>
        <w:numPr>
          <w:ilvl w:val="0"/>
          <w:numId w:val="1011"/>
        </w:numPr>
      </w:pPr>
      <w:r>
        <w:t xml:space="preserve">Origins: acid-rain damage documented across the northeastern US, southeastern Canada, and Scandinavia through the 1980s; political pressure for a policy response; prior experience with a 1980s lead-trading programme that demonstrated the cap-and-trade mechanism.</w:t>
      </w:r>
    </w:p>
    <w:p>
      <w:pPr>
        <w:pStyle w:val="Compact"/>
        <w:numPr>
          <w:ilvl w:val="0"/>
          <w:numId w:val="1011"/>
        </w:numPr>
      </w:pPr>
      <w:r>
        <w:t xml:space="preserve">Coverage: approximately 3,000 electric power plant sources, with emissions concentrated at the largest coal-fired plants.</w:t>
      </w:r>
    </w:p>
    <w:p>
      <w:pPr>
        <w:pStyle w:val="Compact"/>
        <w:numPr>
          <w:ilvl w:val="0"/>
          <w:numId w:val="1011"/>
        </w:numPr>
      </w:pPr>
      <w:r>
        <w:t xml:space="preserve">Technology: flue-gas desulphurisation (scrubbers); switching to lower-sulphur coal from western US sources; later, substitution toward gas and renewables.</w:t>
      </w:r>
    </w:p>
    <w:p>
      <w:pPr>
        <w:pStyle w:val="Compact"/>
        <w:numPr>
          <w:ilvl w:val="0"/>
          <w:numId w:val="1011"/>
        </w:numPr>
      </w:pPr>
      <w:r>
        <w:t xml:space="preserve">Cost trajectory: ex-post analyses found abatement costs came in below the levels initially projected before the programme began.</w:t>
      </w:r>
    </w:p>
    <w:p>
      <w:pPr>
        <w:pStyle w:val="Compact"/>
        <w:numPr>
          <w:ilvl w:val="0"/>
          <w:numId w:val="1011"/>
        </w:numPr>
      </w:pPr>
      <w:r>
        <w:t xml:space="preserve">Allowance allocation: allowances were initially granted to incumbent producers (grandfathering); bonus allocations were made for early-action and clean-coal technologies.</w:t>
      </w:r>
    </w:p>
    <w:p>
      <w:pPr>
        <w:pStyle w:val="Compact"/>
        <w:numPr>
          <w:ilvl w:val="0"/>
          <w:numId w:val="1011"/>
        </w:numPr>
      </w:pPr>
      <w:r>
        <w:t xml:space="preserve">Monitoring infrastructure: EPA monitoring infrastructure including CEMS, an Allowance Tracking System, and auctions covering a portion of allowances.</w:t>
      </w:r>
    </w:p>
    <w:p>
      <w:pPr>
        <w:pStyle w:val="Compact"/>
        <w:numPr>
          <w:ilvl w:val="0"/>
          <w:numId w:val="1011"/>
        </w:numPr>
      </w:pPr>
      <w:r>
        <w:t xml:space="preserve">Government actors: the George H. W. Bush administration; a bipartisan Senate negotiation that included Senators Heinz, Mitchell, and Wallop.</w:t>
      </w:r>
    </w:p>
    <w:p>
      <w:pPr>
        <w:pStyle w:val="Compact"/>
        <w:numPr>
          <w:ilvl w:val="0"/>
          <w:numId w:val="1011"/>
        </w:numPr>
      </w:pPr>
      <w:r>
        <w:t xml:space="preserve">Performance: SO2 emissions reductions exceeded the levels targeted under the 1990 amendments; the programme was effectively retired during the 2010s as the Cross-State Air Pollution Rule and declining coal use rendered the cap non-binding.</w:t>
      </w:r>
    </w:p>
    <w:bookmarkEnd w:id="37"/>
    <w:bookmarkStart w:id="38" w:name="Xabfd89b0020d7dd201e80d11d06c98b246a20ef"/>
    <w:p>
      <w:pPr>
        <w:pStyle w:val="Heading3"/>
      </w:pPr>
      <w:r>
        <w:t xml:space="preserve">Discussion questions from the case pack</w:t>
      </w:r>
    </w:p>
    <w:p>
      <w:pPr>
        <w:pStyle w:val="Compact"/>
        <w:numPr>
          <w:ilvl w:val="0"/>
          <w:numId w:val="1012"/>
        </w:numPr>
      </w:pPr>
      <w:r>
        <w:t xml:space="preserve">Apply the conditions checklist. Where was the case strongest?</w:t>
      </w:r>
    </w:p>
    <w:p>
      <w:pPr>
        <w:pStyle w:val="Compact"/>
        <w:numPr>
          <w:ilvl w:val="0"/>
          <w:numId w:val="1012"/>
        </w:numPr>
      </w:pPr>
      <w:r>
        <w:t xml:space="preserve">What political-coalitional dynamics shaped the programme’s design and passage?</w:t>
      </w:r>
    </w:p>
    <w:p>
      <w:pPr>
        <w:pStyle w:val="Compact"/>
        <w:numPr>
          <w:ilvl w:val="0"/>
          <w:numId w:val="1012"/>
        </w:numPr>
      </w:pPr>
      <w:r>
        <w:t xml:space="preserve">In Hall’s terms, would you call this a second-order or third-order policy change? Why?</w:t>
      </w:r>
    </w:p>
    <w:p>
      <w:pPr>
        <w:pStyle w:val="Compact"/>
        <w:numPr>
          <w:ilvl w:val="0"/>
          <w:numId w:val="1012"/>
        </w:numPr>
      </w:pPr>
      <w:r>
        <w:t xml:space="preserve">Compare to EU ETS: same instrument type, different scale and political-economic context. What’s the same, what’s different?</w:t>
      </w:r>
    </w:p>
    <w:p>
      <w:pPr>
        <w:pStyle w:val="Compact"/>
        <w:numPr>
          <w:ilvl w:val="0"/>
          <w:numId w:val="1012"/>
        </w:numPr>
      </w:pPr>
      <w:r>
        <w:t xml:space="preserve">Climate reflection: the SO2 programme is often cited as a design template for later carbon-pricing programmes. Which of its conditions carry over to the climate case, and which don’t?</w:t>
      </w:r>
    </w:p>
    <w:p>
      <w:r>
        <w:br w:type="page"/>
      </w:r>
    </w:p>
    <w:bookmarkEnd w:id="38"/>
    <w:bookmarkEnd w:id="39"/>
    <w:bookmarkEnd w:id="40"/>
    <w:bookmarkStart w:id="47" w:name="X5789a694be72ca7e8ede336651262cca0a97882"/>
    <w:p>
      <w:pPr>
        <w:pStyle w:val="Heading1"/>
      </w:pPr>
      <w:r>
        <w:t xml:space="preserve">Conditions for Environmental-Governance Success — Worksheet</w:t>
      </w:r>
    </w:p>
    <w:bookmarkStart w:id="46" w:name="X922a6b7fdb5d08e663a6495c9e0a69a6175dc5c"/>
    <w:p>
      <w:pPr>
        <w:pStyle w:val="Heading2"/>
      </w:pPr>
      <w:r>
        <w:t xml:space="preserve">EU Emissions Trading System — Market-based emissions instruments pair</w:t>
      </w:r>
    </w:p>
    <w:p>
      <w:pPr>
        <w:pStyle w:val="FirstParagraph"/>
      </w:pPr>
      <w:r>
        <w:rPr>
          <w:i/>
          <w:iCs/>
        </w:rPr>
        <w:t xml:space="preserve">IR227 Seminar 7 — Group worksheet</w:t>
      </w:r>
    </w:p>
    <w:bookmarkStart w:id="41" w:name="task-3"/>
    <w:p>
      <w:pPr>
        <w:pStyle w:val="Heading3"/>
      </w:pPr>
      <w:r>
        <w:t xml:space="preserve">Task</w:t>
      </w:r>
    </w:p>
    <w:p>
      <w:pPr>
        <w:pStyle w:val="FirstParagraph"/>
      </w:pPr>
      <w:r>
        <w:t xml:space="preserve">Take your assigned environmental-governance case and apply the conditions-for-success checklist. Identify what’s present, what’s missing, and deliver a status verdict — succeeding, partially succeeding, or stalled.</w:t>
      </w:r>
    </w:p>
    <w:p>
      <w:pPr>
        <w:pStyle w:val="BodyText"/>
      </w:pPr>
      <w:r>
        <w:t xml:space="preserve">The analytical tools you will deploy are: the seven-condition checklist for environmental-governance success (anchored in Haas’s epistemic-communities framework and Young’s regime-effectiveness synthesis), and the</w:t>
      </w:r>
      <w:r>
        <w:t xml:space="preserve"> </w:t>
      </w:r>
      <w:r>
        <w:t xml:space="preserve">“</w:t>
      </w:r>
      <w:r>
        <w:t xml:space="preserve">industry as a variable, not just an opponent</w:t>
      </w:r>
      <w:r>
        <w:t xml:space="preserve">”</w:t>
      </w:r>
      <w:r>
        <w:t xml:space="preserve"> </w:t>
      </w:r>
      <w:r>
        <w:t xml:space="preserve">lens.</w:t>
      </w:r>
    </w:p>
    <w:bookmarkEnd w:id="41"/>
    <w:bookmarkStart w:id="42" w:name="requirements-3"/>
    <w:p>
      <w:pPr>
        <w:pStyle w:val="Heading3"/>
      </w:pPr>
      <w:r>
        <w:t xml:space="preserve">Requirements</w:t>
      </w:r>
    </w:p>
    <w:p>
      <w:pPr>
        <w:pStyle w:val="Compact"/>
        <w:numPr>
          <w:ilvl w:val="0"/>
          <w:numId w:val="1013"/>
        </w:numPr>
      </w:pPr>
      <w:r>
        <w:t xml:space="preserve">for each of the seven conditions on the checklist, identify whether it is present, partially present, or absent, with evidence from the case,</w:t>
      </w:r>
    </w:p>
    <w:p>
      <w:pPr>
        <w:pStyle w:val="Compact"/>
        <w:numPr>
          <w:ilvl w:val="0"/>
          <w:numId w:val="1013"/>
        </w:numPr>
      </w:pPr>
      <w:r>
        <w:t xml:space="preserve">identify the binding constraint — the missing or unfavourable condition that most explains the case’s outcome,</w:t>
      </w:r>
    </w:p>
    <w:p>
      <w:pPr>
        <w:pStyle w:val="Compact"/>
        <w:numPr>
          <w:ilvl w:val="0"/>
          <w:numId w:val="1013"/>
        </w:numPr>
      </w:pPr>
      <w:r>
        <w:t xml:space="preserve">deliver a status verdict (succeeding / partially succeeding / stalled) that follows from the conditions assessment, and</w:t>
      </w:r>
    </w:p>
    <w:p>
      <w:pPr>
        <w:pStyle w:val="Compact"/>
        <w:numPr>
          <w:ilvl w:val="0"/>
          <w:numId w:val="1013"/>
        </w:numPr>
      </w:pPr>
      <w:r>
        <w:t xml:space="preserve">close with a brief reflection on what the case implies for the climate-governance challenge in Lecture 9.</w:t>
      </w:r>
    </w:p>
    <w:p>
      <w:pPr>
        <w:pStyle w:val="FirstParagraph"/>
      </w:pPr>
      <w:r>
        <w:t xml:space="preserve">Note: these cases are deliberately under-determined. There is no single correct verdict — you will be assessed on the strength of the reasoning chain (conditions assessment → binding constraint → status verdict → climate reflection), not on which verdict you reach.</w:t>
      </w:r>
    </w:p>
    <w:bookmarkEnd w:id="42"/>
    <w:bookmarkStart w:id="43" w:name="tool-summary-3"/>
    <w:p>
      <w:pPr>
        <w:pStyle w:val="Heading3"/>
      </w:pPr>
      <w:r>
        <w:t xml:space="preserve">Tool summary</w:t>
      </w:r>
    </w:p>
    <w:p>
      <w:pPr>
        <w:pStyle w:val="FirstParagraph"/>
      </w:pPr>
      <w:r>
        <w:rPr>
          <w:b/>
          <w:bCs/>
        </w:rPr>
        <w:t xml:space="preserve">Conditions for success (after Haas 1992; Young 2011).</w:t>
      </w:r>
      <w:r>
        <w:t xml:space="preserve"> </w:t>
      </w:r>
      <w:r>
        <w:t xml:space="preserve">Ask, for each condition, whether it is present, partially present, or absent in your case — and which condition is the binding constraint.</w:t>
      </w:r>
    </w:p>
    <w:p>
      <w:pPr>
        <w:pStyle w:val="Compact"/>
        <w:numPr>
          <w:ilvl w:val="0"/>
          <w:numId w:val="1014"/>
        </w:numPr>
      </w:pPr>
      <w:r>
        <w:t xml:space="preserve">Scientific consensus + epistemic community.</w:t>
      </w:r>
    </w:p>
    <w:p>
      <w:pPr>
        <w:pStyle w:val="Compact"/>
        <w:numPr>
          <w:ilvl w:val="0"/>
          <w:numId w:val="1014"/>
        </w:numPr>
      </w:pPr>
      <w:r>
        <w:t xml:space="preserve">Concentrated industry / actors.</w:t>
      </w:r>
    </w:p>
    <w:p>
      <w:pPr>
        <w:pStyle w:val="Compact"/>
        <w:numPr>
          <w:ilvl w:val="0"/>
          <w:numId w:val="1014"/>
        </w:numPr>
      </w:pPr>
      <w:r>
        <w:t xml:space="preserve">Available technological substitutes.</w:t>
      </w:r>
    </w:p>
    <w:p>
      <w:pPr>
        <w:pStyle w:val="Compact"/>
        <w:numPr>
          <w:ilvl w:val="0"/>
          <w:numId w:val="1014"/>
        </w:numPr>
      </w:pPr>
      <w:r>
        <w:t xml:space="preserve">Asymmetric costs favouring cooperation.</w:t>
      </w:r>
    </w:p>
    <w:p>
      <w:pPr>
        <w:pStyle w:val="Compact"/>
        <w:numPr>
          <w:ilvl w:val="0"/>
          <w:numId w:val="1014"/>
        </w:numPr>
      </w:pPr>
      <w:r>
        <w:t xml:space="preserve">Distributional mechanisms.</w:t>
      </w:r>
    </w:p>
    <w:p>
      <w:pPr>
        <w:pStyle w:val="Compact"/>
        <w:numPr>
          <w:ilvl w:val="0"/>
          <w:numId w:val="1014"/>
        </w:numPr>
      </w:pPr>
      <w:r>
        <w:t xml:space="preserve">Institutional design (monitoring, verification, enforcement).</w:t>
      </w:r>
    </w:p>
    <w:p>
      <w:pPr>
        <w:pStyle w:val="Compact"/>
        <w:numPr>
          <w:ilvl w:val="0"/>
          <w:numId w:val="1014"/>
        </w:numPr>
      </w:pPr>
      <w:r>
        <w:t xml:space="preserve">Political leadership.</w:t>
      </w:r>
    </w:p>
    <w:p>
      <w:pPr>
        <w:pStyle w:val="FirstParagraph"/>
      </w:pPr>
      <w:r>
        <w:rPr>
          <w:b/>
          <w:bCs/>
        </w:rPr>
        <w:t xml:space="preserve">Epistemic community (Haas 1992).</w:t>
      </w:r>
      <w:r>
        <w:t xml:space="preserve"> </w:t>
      </w:r>
      <w:r>
        <w:t xml:space="preserve">More than scientific consensus alone — a network with shared normative and causal beliefs, shared standards for validating knowledge, and a common policy enterprise, connected into the policy process.</w:t>
      </w:r>
    </w:p>
    <w:p>
      <w:pPr>
        <w:pStyle w:val="BodyText"/>
      </w:pPr>
      <w:r>
        <w:rPr>
          <w:b/>
          <w:bCs/>
        </w:rPr>
        <w:t xml:space="preserve">Industry as a variable (Kennard 2020).</w:t>
      </w:r>
      <w:r>
        <w:t xml:space="preserve"> </w:t>
      </w:r>
      <w:r>
        <w:t xml:space="preserve">Industry is not monolithically opposed to environmental regulation. Firms whose compliance costs are lower than their rivals’ can gain from regulation and lobby for it. Identify which firms (if any) are on which side of your case, and whether the pro-regulation ones have been mobilised.</w:t>
      </w:r>
    </w:p>
    <w:bookmarkEnd w:id="43"/>
    <w:bookmarkStart w:id="44" w:name="case-specifics-from-the-case-pack-3"/>
    <w:p>
      <w:pPr>
        <w:pStyle w:val="Heading3"/>
      </w:pPr>
      <w:r>
        <w:t xml:space="preserve">Case specifics (from the case pack)</w:t>
      </w:r>
    </w:p>
    <w:p>
      <w:pPr>
        <w:pStyle w:val="FirstParagraph"/>
      </w:pPr>
      <w:r>
        <w:t xml:space="preserve">The EU Emissions Trading System is the world’s most extensively developed carbon-pricing instrument, and was for over a decade the largest such system by emissions covered (until China’s ETS launched in 2021). It was designed in part by veterans of the US SO2 programme and launched in 2005 as a pilot (Phase 1). Subsequent phases reformed how allowances are allocated (moving from free allocation toward auctioning), addressed price volatility through a Market Stability Reserve, expanded scope (to aviation in 2012 and to maritime shipping in 2024), and introduced a Carbon Border Adjustment Mechanism (transitional from 2023, full from 2026).</w:t>
      </w:r>
    </w:p>
    <w:p>
      <w:pPr>
        <w:pStyle w:val="BodyText"/>
      </w:pPr>
      <w:r>
        <w:rPr>
          <w:b/>
          <w:bCs/>
        </w:rPr>
        <w:t xml:space="preserve">Case: the agency’s data</w:t>
      </w:r>
    </w:p>
    <w:p>
      <w:pPr>
        <w:pStyle w:val="Compact"/>
        <w:numPr>
          <w:ilvl w:val="0"/>
          <w:numId w:val="1015"/>
        </w:numPr>
      </w:pPr>
      <w:r>
        <w:t xml:space="preserve">Origins: the 1997 Kyoto Protocol commitments; an EU strategic decision to use cap-and-trade as its flagship climate instrument; the 2003 ETS Directive.</w:t>
      </w:r>
    </w:p>
    <w:p>
      <w:pPr>
        <w:pStyle w:val="Compact"/>
        <w:numPr>
          <w:ilvl w:val="0"/>
          <w:numId w:val="1015"/>
        </w:numPr>
      </w:pPr>
      <w:r>
        <w:t xml:space="preserve">Coverage: approximately 10,000 installations across power generation, energy-intensive industry, and intra-EU aviation, later expanded to maritime shipping.</w:t>
      </w:r>
    </w:p>
    <w:p>
      <w:pPr>
        <w:pStyle w:val="Compact"/>
        <w:numPr>
          <w:ilvl w:val="0"/>
          <w:numId w:val="1015"/>
        </w:numPr>
      </w:pPr>
      <w:r>
        <w:t xml:space="preserve">Technology: increasingly available for power generation (renewables); less mature for industry and aviation.</w:t>
      </w:r>
    </w:p>
    <w:p>
      <w:pPr>
        <w:pStyle w:val="Compact"/>
        <w:numPr>
          <w:ilvl w:val="0"/>
          <w:numId w:val="1015"/>
        </w:numPr>
      </w:pPr>
      <w:r>
        <w:t xml:space="preserve">Cost data: mitigation costs across covered sectors have generally been higher than those observed in the SO2 programme.</w:t>
      </w:r>
    </w:p>
    <w:p>
      <w:pPr>
        <w:pStyle w:val="Compact"/>
        <w:numPr>
          <w:ilvl w:val="0"/>
          <w:numId w:val="1015"/>
        </w:numPr>
      </w:pPr>
      <w:r>
        <w:t xml:space="preserve">Allowance and revenue rules: free allocation has declined across successive phases; auctioning revenues are partly used by member states for compensation; a Modernisation Fund channels 10% of auction revenues to lower-income members; an Innovation Fund also operates.</w:t>
      </w:r>
    </w:p>
    <w:p>
      <w:pPr>
        <w:pStyle w:val="Compact"/>
        <w:numPr>
          <w:ilvl w:val="0"/>
          <w:numId w:val="1015"/>
        </w:numPr>
      </w:pPr>
      <w:r>
        <w:t xml:space="preserve">Programme design history: developed iteratively across four phases — Phase 1 (2005–07) encountered over-allocation problems; Phase 2 (2008–12) addressed some of these; Phase 3 (2013–20) introduced auctioning at scale; Phase 4 (2021–30) tightened the cap and added the Market Stability Reserve.</w:t>
      </w:r>
    </w:p>
    <w:p>
      <w:pPr>
        <w:pStyle w:val="Compact"/>
        <w:numPr>
          <w:ilvl w:val="0"/>
          <w:numId w:val="1015"/>
        </w:numPr>
      </w:pPr>
      <w:r>
        <w:t xml:space="preserve">Government actors: engagement has differed across member states; the European Commission has provided continuous institutional leadership of the programme.</w:t>
      </w:r>
    </w:p>
    <w:p>
      <w:pPr>
        <w:pStyle w:val="Compact"/>
        <w:numPr>
          <w:ilvl w:val="0"/>
          <w:numId w:val="1015"/>
        </w:numPr>
      </w:pPr>
      <w:r>
        <w:t xml:space="preserve">Recent prices: allowance prices have been in the range of roughly €70–100/tCO2 in 2023–25, with notable volatility.</w:t>
      </w:r>
    </w:p>
    <w:bookmarkEnd w:id="44"/>
    <w:bookmarkStart w:id="45" w:name="X3132ccfbd4a825aee823f86eb155173dcf9a708"/>
    <w:p>
      <w:pPr>
        <w:pStyle w:val="Heading3"/>
      </w:pPr>
      <w:r>
        <w:t xml:space="preserve">Discussion questions from the case pack</w:t>
      </w:r>
    </w:p>
    <w:p>
      <w:pPr>
        <w:pStyle w:val="Compact"/>
        <w:numPr>
          <w:ilvl w:val="0"/>
          <w:numId w:val="1016"/>
        </w:numPr>
      </w:pPr>
      <w:r>
        <w:t xml:space="preserve">Apply the conditions checklist. Where does the EU ETS resemble the SO2 programme, and where does it differ?</w:t>
      </w:r>
    </w:p>
    <w:p>
      <w:pPr>
        <w:pStyle w:val="Compact"/>
        <w:numPr>
          <w:ilvl w:val="0"/>
          <w:numId w:val="1016"/>
        </w:numPr>
      </w:pPr>
      <w:r>
        <w:t xml:space="preserve">What design lessons did it carry over from the SO2 programme, and what did it have to invent for itself?</w:t>
      </w:r>
    </w:p>
    <w:p>
      <w:pPr>
        <w:pStyle w:val="Compact"/>
        <w:numPr>
          <w:ilvl w:val="0"/>
          <w:numId w:val="1016"/>
        </w:numPr>
      </w:pPr>
      <w:r>
        <w:t xml:space="preserve">Why has the regime required so much iterative redesign?</w:t>
      </w:r>
    </w:p>
    <w:p>
      <w:pPr>
        <w:pStyle w:val="Compact"/>
        <w:numPr>
          <w:ilvl w:val="0"/>
          <w:numId w:val="1016"/>
        </w:numPr>
      </w:pPr>
      <w:r>
        <w:t xml:space="preserve">Compare to SO2: same instrument type, different scale and design challenges.</w:t>
      </w:r>
    </w:p>
    <w:p>
      <w:pPr>
        <w:pStyle w:val="Compact"/>
        <w:numPr>
          <w:ilvl w:val="0"/>
          <w:numId w:val="1016"/>
        </w:numPr>
      </w:pPr>
      <w:r>
        <w:t xml:space="preserve">Climate reflection: what does the EU ETS’s trajectory imply for other carbon-pricing systems (China’s ETS, the UK ETS, others)?</w:t>
      </w:r>
    </w:p>
    <w:p>
      <w:r>
        <w:br w:type="page"/>
      </w:r>
    </w:p>
    <w:bookmarkEnd w:id="45"/>
    <w:bookmarkEnd w:id="46"/>
    <w:bookmarkEnd w:id="47"/>
    <w:bookmarkStart w:id="54" w:name="X8ef773bb61d65495160d478a4e87c24fd497568"/>
    <w:p>
      <w:pPr>
        <w:pStyle w:val="Heading1"/>
      </w:pPr>
      <w:r>
        <w:t xml:space="preserve">Conditions for Environmental-Governance Success — Worksheet</w:t>
      </w:r>
    </w:p>
    <w:bookmarkStart w:id="53" w:name="X03aa7b3d1b0bbab4f037d67351db69e57e1467c"/>
    <w:p>
      <w:pPr>
        <w:pStyle w:val="Heading2"/>
      </w:pPr>
      <w:r>
        <w:t xml:space="preserve">UN Plastic Treaty negotiations — Cases where conditions are unfavourable pair</w:t>
      </w:r>
    </w:p>
    <w:p>
      <w:pPr>
        <w:pStyle w:val="FirstParagraph"/>
      </w:pPr>
      <w:r>
        <w:rPr>
          <w:i/>
          <w:iCs/>
        </w:rPr>
        <w:t xml:space="preserve">IR227 Seminar 7 — Group worksheet</w:t>
      </w:r>
    </w:p>
    <w:bookmarkStart w:id="48" w:name="task-4"/>
    <w:p>
      <w:pPr>
        <w:pStyle w:val="Heading3"/>
      </w:pPr>
      <w:r>
        <w:t xml:space="preserve">Task</w:t>
      </w:r>
    </w:p>
    <w:p>
      <w:pPr>
        <w:pStyle w:val="FirstParagraph"/>
      </w:pPr>
      <w:r>
        <w:t xml:space="preserve">Take your assigned environmental-governance case and apply the conditions-for-success checklist. Identify what’s present, what’s missing, and deliver a status verdict — succeeding, partially succeeding, or stalled.</w:t>
      </w:r>
    </w:p>
    <w:p>
      <w:pPr>
        <w:pStyle w:val="BodyText"/>
      </w:pPr>
      <w:r>
        <w:t xml:space="preserve">The analytical tools you will deploy are: the seven-condition checklist for environmental-governance success (anchored in Haas’s epistemic-communities framework and Young’s regime-effectiveness synthesis), and the</w:t>
      </w:r>
      <w:r>
        <w:t xml:space="preserve"> </w:t>
      </w:r>
      <w:r>
        <w:t xml:space="preserve">“</w:t>
      </w:r>
      <w:r>
        <w:t xml:space="preserve">industry as a variable, not just an opponent</w:t>
      </w:r>
      <w:r>
        <w:t xml:space="preserve">”</w:t>
      </w:r>
      <w:r>
        <w:t xml:space="preserve"> </w:t>
      </w:r>
      <w:r>
        <w:t xml:space="preserve">lens.</w:t>
      </w:r>
    </w:p>
    <w:bookmarkEnd w:id="48"/>
    <w:bookmarkStart w:id="49" w:name="requirements-4"/>
    <w:p>
      <w:pPr>
        <w:pStyle w:val="Heading3"/>
      </w:pPr>
      <w:r>
        <w:t xml:space="preserve">Requirements</w:t>
      </w:r>
    </w:p>
    <w:p>
      <w:pPr>
        <w:pStyle w:val="Compact"/>
        <w:numPr>
          <w:ilvl w:val="0"/>
          <w:numId w:val="1017"/>
        </w:numPr>
      </w:pPr>
      <w:r>
        <w:t xml:space="preserve">for each of the seven conditions on the checklist, identify whether it is present, partially present, or absent, with evidence from the case,</w:t>
      </w:r>
    </w:p>
    <w:p>
      <w:pPr>
        <w:pStyle w:val="Compact"/>
        <w:numPr>
          <w:ilvl w:val="0"/>
          <w:numId w:val="1017"/>
        </w:numPr>
      </w:pPr>
      <w:r>
        <w:t xml:space="preserve">identify the binding constraint — the missing or unfavourable condition that most explains the case’s outcome,</w:t>
      </w:r>
    </w:p>
    <w:p>
      <w:pPr>
        <w:pStyle w:val="Compact"/>
        <w:numPr>
          <w:ilvl w:val="0"/>
          <w:numId w:val="1017"/>
        </w:numPr>
      </w:pPr>
      <w:r>
        <w:t xml:space="preserve">deliver a status verdict (succeeding / partially succeeding / stalled) that follows from the conditions assessment, and</w:t>
      </w:r>
    </w:p>
    <w:p>
      <w:pPr>
        <w:pStyle w:val="Compact"/>
        <w:numPr>
          <w:ilvl w:val="0"/>
          <w:numId w:val="1017"/>
        </w:numPr>
      </w:pPr>
      <w:r>
        <w:t xml:space="preserve">close with a brief reflection on what the case implies for the climate-governance challenge in Lecture 9.</w:t>
      </w:r>
    </w:p>
    <w:p>
      <w:pPr>
        <w:pStyle w:val="FirstParagraph"/>
      </w:pPr>
      <w:r>
        <w:t xml:space="preserve">Note: these cases are deliberately under-determined. There is no single correct verdict — you will be assessed on the strength of the reasoning chain (conditions assessment → binding constraint → status verdict → climate reflection), not on which verdict you reach.</w:t>
      </w:r>
    </w:p>
    <w:bookmarkEnd w:id="49"/>
    <w:bookmarkStart w:id="50" w:name="tool-summary-4"/>
    <w:p>
      <w:pPr>
        <w:pStyle w:val="Heading3"/>
      </w:pPr>
      <w:r>
        <w:t xml:space="preserve">Tool summary</w:t>
      </w:r>
    </w:p>
    <w:p>
      <w:pPr>
        <w:pStyle w:val="FirstParagraph"/>
      </w:pPr>
      <w:r>
        <w:rPr>
          <w:b/>
          <w:bCs/>
        </w:rPr>
        <w:t xml:space="preserve">Conditions for success (after Haas 1992; Young 2011).</w:t>
      </w:r>
      <w:r>
        <w:t xml:space="preserve"> </w:t>
      </w:r>
      <w:r>
        <w:t xml:space="preserve">Ask, for each condition, whether it is present, partially present, or absent in your case — and which condition is the binding constraint.</w:t>
      </w:r>
    </w:p>
    <w:p>
      <w:pPr>
        <w:pStyle w:val="Compact"/>
        <w:numPr>
          <w:ilvl w:val="0"/>
          <w:numId w:val="1018"/>
        </w:numPr>
      </w:pPr>
      <w:r>
        <w:t xml:space="preserve">Scientific consensus + epistemic community.</w:t>
      </w:r>
    </w:p>
    <w:p>
      <w:pPr>
        <w:pStyle w:val="Compact"/>
        <w:numPr>
          <w:ilvl w:val="0"/>
          <w:numId w:val="1018"/>
        </w:numPr>
      </w:pPr>
      <w:r>
        <w:t xml:space="preserve">Concentrated industry / actors.</w:t>
      </w:r>
    </w:p>
    <w:p>
      <w:pPr>
        <w:pStyle w:val="Compact"/>
        <w:numPr>
          <w:ilvl w:val="0"/>
          <w:numId w:val="1018"/>
        </w:numPr>
      </w:pPr>
      <w:r>
        <w:t xml:space="preserve">Available technological substitutes.</w:t>
      </w:r>
    </w:p>
    <w:p>
      <w:pPr>
        <w:pStyle w:val="Compact"/>
        <w:numPr>
          <w:ilvl w:val="0"/>
          <w:numId w:val="1018"/>
        </w:numPr>
      </w:pPr>
      <w:r>
        <w:t xml:space="preserve">Asymmetric costs favouring cooperation.</w:t>
      </w:r>
    </w:p>
    <w:p>
      <w:pPr>
        <w:pStyle w:val="Compact"/>
        <w:numPr>
          <w:ilvl w:val="0"/>
          <w:numId w:val="1018"/>
        </w:numPr>
      </w:pPr>
      <w:r>
        <w:t xml:space="preserve">Distributional mechanisms.</w:t>
      </w:r>
    </w:p>
    <w:p>
      <w:pPr>
        <w:pStyle w:val="Compact"/>
        <w:numPr>
          <w:ilvl w:val="0"/>
          <w:numId w:val="1018"/>
        </w:numPr>
      </w:pPr>
      <w:r>
        <w:t xml:space="preserve">Institutional design (monitoring, verification, enforcement).</w:t>
      </w:r>
    </w:p>
    <w:p>
      <w:pPr>
        <w:pStyle w:val="Compact"/>
        <w:numPr>
          <w:ilvl w:val="0"/>
          <w:numId w:val="1018"/>
        </w:numPr>
      </w:pPr>
      <w:r>
        <w:t xml:space="preserve">Political leadership.</w:t>
      </w:r>
    </w:p>
    <w:p>
      <w:pPr>
        <w:pStyle w:val="FirstParagraph"/>
      </w:pPr>
      <w:r>
        <w:rPr>
          <w:b/>
          <w:bCs/>
        </w:rPr>
        <w:t xml:space="preserve">Epistemic community (Haas 1992).</w:t>
      </w:r>
      <w:r>
        <w:t xml:space="preserve"> </w:t>
      </w:r>
      <w:r>
        <w:t xml:space="preserve">More than scientific consensus alone — a network with shared normative and causal beliefs, shared standards for validating knowledge, and a common policy enterprise, connected into the policy process.</w:t>
      </w:r>
    </w:p>
    <w:p>
      <w:pPr>
        <w:pStyle w:val="BodyText"/>
      </w:pPr>
      <w:r>
        <w:rPr>
          <w:b/>
          <w:bCs/>
        </w:rPr>
        <w:t xml:space="preserve">Industry as a variable (Kennard 2020).</w:t>
      </w:r>
      <w:r>
        <w:t xml:space="preserve"> </w:t>
      </w:r>
      <w:r>
        <w:t xml:space="preserve">Industry is not monolithically opposed to environmental regulation. Firms whose compliance costs are lower than their rivals’ can gain from regulation and lobby for it. Identify which firms (if any) are on which side of your case, and whether the pro-regulation ones have been mobilised.</w:t>
      </w:r>
    </w:p>
    <w:bookmarkEnd w:id="50"/>
    <w:bookmarkStart w:id="51" w:name="case-specifics-from-the-case-pack-4"/>
    <w:p>
      <w:pPr>
        <w:pStyle w:val="Heading3"/>
      </w:pPr>
      <w:r>
        <w:t xml:space="preserve">Case specifics (from the case pack)</w:t>
      </w:r>
    </w:p>
    <w:p>
      <w:pPr>
        <w:pStyle w:val="FirstParagraph"/>
      </w:pPr>
      <w:r>
        <w:t xml:space="preserve">In 2022 the UN Environment Assembly mandated negotiation of a legally binding international instrument on plastic pollution. The Intergovernmental Negotiating Committee (INC) held five negotiating rounds between November 2022 and December 2024 (INC-1 through INC-5), with a resumed session (INC-5.2) in Geneva in August 2025. The negotiations have been contested across several dimensions: whether the treaty should cap production or focus on waste management; how to design a financial mechanism; which chemicals of concern to list; trade-related provisions; and differentiation between developed and developing countries.</w:t>
      </w:r>
    </w:p>
    <w:p>
      <w:pPr>
        <w:pStyle w:val="BodyText"/>
      </w:pPr>
      <w:r>
        <w:rPr>
          <w:b/>
          <w:bCs/>
        </w:rPr>
        <w:t xml:space="preserve">Case: the agency’s data</w:t>
      </w:r>
    </w:p>
    <w:p>
      <w:pPr>
        <w:pStyle w:val="Compact"/>
        <w:numPr>
          <w:ilvl w:val="0"/>
          <w:numId w:val="1019"/>
        </w:numPr>
      </w:pPr>
      <w:r>
        <w:t xml:space="preserve">Origins: the 2022 UNEA Resolution 5/14; growing scientific evidence on plastic pollution; civil-society mobilisation; visible marine pollution.</w:t>
      </w:r>
    </w:p>
    <w:p>
      <w:pPr>
        <w:pStyle w:val="Compact"/>
        <w:numPr>
          <w:ilvl w:val="0"/>
          <w:numId w:val="1019"/>
        </w:numPr>
      </w:pPr>
      <w:r>
        <w:t xml:space="preserve">Producers: plastic production is diffuse globally, with thousands of producers; petrochemical-feedstock production is only partially concentrated. Major producing countries include Saudi Arabia, China, Iran, Russia, and the US.</w:t>
      </w:r>
    </w:p>
    <w:p>
      <w:pPr>
        <w:pStyle w:val="Compact"/>
        <w:numPr>
          <w:ilvl w:val="0"/>
          <w:numId w:val="1019"/>
        </w:numPr>
      </w:pPr>
      <w:r>
        <w:t xml:space="preserve">Technology: alternatives available for some applications (e.g., single-use packaging); limited for others (medical devices, infrastructure, automotive components, electronics).</w:t>
      </w:r>
    </w:p>
    <w:p>
      <w:pPr>
        <w:pStyle w:val="Compact"/>
        <w:numPr>
          <w:ilvl w:val="0"/>
          <w:numId w:val="1019"/>
        </w:numPr>
      </w:pPr>
      <w:r>
        <w:t xml:space="preserve">Cost and benefit distribution: a High-Ambition Coalition (co-chaired by Norway and Rwanda, including EU members and Pacific island states) has prioritised environmental-harm reduction; a Like-Minded Group (including Saudi Arabia, Iran, Russia, Bahrain, and Cuba) has prioritised producer-state economic interests.</w:t>
      </w:r>
    </w:p>
    <w:p>
      <w:pPr>
        <w:pStyle w:val="Compact"/>
        <w:numPr>
          <w:ilvl w:val="0"/>
          <w:numId w:val="1019"/>
        </w:numPr>
      </w:pPr>
      <w:r>
        <w:t xml:space="preserve">Funding arrangements: not yet designed; the question has been a recurring point of disagreement across the negotiating rounds.</w:t>
      </w:r>
    </w:p>
    <w:p>
      <w:pPr>
        <w:pStyle w:val="Compact"/>
        <w:numPr>
          <w:ilvl w:val="0"/>
          <w:numId w:val="1019"/>
        </w:numPr>
      </w:pPr>
      <w:r>
        <w:t xml:space="preserve">Negotiating structure: the INC process operates under UNEP; it remains an open question whether the final instrument will be a Convention with binding obligations or a COP-based framework with subsequent protocols.</w:t>
      </w:r>
    </w:p>
    <w:p>
      <w:pPr>
        <w:pStyle w:val="Compact"/>
        <w:numPr>
          <w:ilvl w:val="0"/>
          <w:numId w:val="1019"/>
        </w:numPr>
      </w:pPr>
      <w:r>
        <w:t xml:space="preserve">Government actors: Norway and Rwanda chair the High-Ambition Coalition; the US negotiating position shifted between 2024 and 2025.</w:t>
      </w:r>
    </w:p>
    <w:p>
      <w:pPr>
        <w:pStyle w:val="Compact"/>
        <w:numPr>
          <w:ilvl w:val="0"/>
          <w:numId w:val="1019"/>
        </w:numPr>
      </w:pPr>
      <w:r>
        <w:t xml:space="preserve">Progress to 2025: INC-5 (Busan, December 2024) did not produce a final text; the resumed INC-5.2 session (Geneva, August 2025) made limited progress; further negotiations are expected.</w:t>
      </w:r>
    </w:p>
    <w:bookmarkEnd w:id="51"/>
    <w:bookmarkStart w:id="52" w:name="X387aa0d96432d7cba40b082af2f4743f5cc1d68"/>
    <w:p>
      <w:pPr>
        <w:pStyle w:val="Heading3"/>
      </w:pPr>
      <w:r>
        <w:t xml:space="preserve">Discussion questions from the case pack</w:t>
      </w:r>
    </w:p>
    <w:p>
      <w:pPr>
        <w:pStyle w:val="Compact"/>
        <w:numPr>
          <w:ilvl w:val="0"/>
          <w:numId w:val="1020"/>
        </w:numPr>
      </w:pPr>
      <w:r>
        <w:t xml:space="preserve">Apply the conditions checklist. Where is the case weakest? What, in your assessment, is the binding constraint?</w:t>
      </w:r>
    </w:p>
    <w:p>
      <w:pPr>
        <w:pStyle w:val="Compact"/>
        <w:numPr>
          <w:ilvl w:val="0"/>
          <w:numId w:val="1020"/>
        </w:numPr>
      </w:pPr>
      <w:r>
        <w:t xml:space="preserve">What strategic move could improve the conditions — not for an immediate breakthrough, but for the next negotiating cycle?</w:t>
      </w:r>
    </w:p>
    <w:p>
      <w:pPr>
        <w:pStyle w:val="Compact"/>
        <w:numPr>
          <w:ilvl w:val="0"/>
          <w:numId w:val="1020"/>
        </w:numPr>
      </w:pPr>
      <w:r>
        <w:t xml:space="preserve">Compare to CBD/BBNJ: both cases face structurally difficult conditions. How do their trajectories compare, and what might explain any difference?</w:t>
      </w:r>
    </w:p>
    <w:p>
      <w:pPr>
        <w:pStyle w:val="Compact"/>
        <w:numPr>
          <w:ilvl w:val="0"/>
          <w:numId w:val="1020"/>
        </w:numPr>
      </w:pPr>
      <w:r>
        <w:t xml:space="preserve">Climate reflection: this case shares several features with climate governance — diffuse production, contested cost distribution, distributional disagreements, producer-state opposition. What does it suggest for climate strategy?</w:t>
      </w:r>
    </w:p>
    <w:p>
      <w:r>
        <w:br w:type="page"/>
      </w:r>
    </w:p>
    <w:bookmarkEnd w:id="52"/>
    <w:bookmarkEnd w:id="53"/>
    <w:bookmarkEnd w:id="54"/>
    <w:bookmarkStart w:id="61" w:name="Xca31bcfcf47abf67fbdc1f4255ba5b16688097e"/>
    <w:p>
      <w:pPr>
        <w:pStyle w:val="Heading1"/>
      </w:pPr>
      <w:r>
        <w:t xml:space="preserve">Conditions for Environmental-Governance Success — Worksheet</w:t>
      </w:r>
    </w:p>
    <w:bookmarkStart w:id="60" w:name="Xc654a1fe693de29724724145f10a49649ba294d"/>
    <w:p>
      <w:pPr>
        <w:pStyle w:val="Heading2"/>
      </w:pPr>
      <w:r>
        <w:t xml:space="preserve">Convention on Biological Diversity / BBNJ Treaty — Cases where conditions are unfavourable pair</w:t>
      </w:r>
    </w:p>
    <w:p>
      <w:pPr>
        <w:pStyle w:val="FirstParagraph"/>
      </w:pPr>
      <w:r>
        <w:rPr>
          <w:i/>
          <w:iCs/>
        </w:rPr>
        <w:t xml:space="preserve">IR227 Seminar 7 — Group worksheet</w:t>
      </w:r>
    </w:p>
    <w:bookmarkStart w:id="55" w:name="task-5"/>
    <w:p>
      <w:pPr>
        <w:pStyle w:val="Heading3"/>
      </w:pPr>
      <w:r>
        <w:t xml:space="preserve">Task</w:t>
      </w:r>
    </w:p>
    <w:p>
      <w:pPr>
        <w:pStyle w:val="FirstParagraph"/>
      </w:pPr>
      <w:r>
        <w:t xml:space="preserve">Take your assigned environmental-governance case and apply the conditions-for-success checklist. Identify what’s present, what’s missing, and deliver a status verdict — succeeding, partially succeeding, or stalled.</w:t>
      </w:r>
    </w:p>
    <w:p>
      <w:pPr>
        <w:pStyle w:val="BodyText"/>
      </w:pPr>
      <w:r>
        <w:t xml:space="preserve">The analytical tools you will deploy are: the seven-condition checklist for environmental-governance success (anchored in Haas’s epistemic-communities framework and Young’s regime-effectiveness synthesis), and the</w:t>
      </w:r>
      <w:r>
        <w:t xml:space="preserve"> </w:t>
      </w:r>
      <w:r>
        <w:t xml:space="preserve">“</w:t>
      </w:r>
      <w:r>
        <w:t xml:space="preserve">industry as a variable, not just an opponent</w:t>
      </w:r>
      <w:r>
        <w:t xml:space="preserve">”</w:t>
      </w:r>
      <w:r>
        <w:t xml:space="preserve"> </w:t>
      </w:r>
      <w:r>
        <w:t xml:space="preserve">lens.</w:t>
      </w:r>
    </w:p>
    <w:bookmarkEnd w:id="55"/>
    <w:bookmarkStart w:id="56" w:name="requirements-5"/>
    <w:p>
      <w:pPr>
        <w:pStyle w:val="Heading3"/>
      </w:pPr>
      <w:r>
        <w:t xml:space="preserve">Requirements</w:t>
      </w:r>
    </w:p>
    <w:p>
      <w:pPr>
        <w:pStyle w:val="Compact"/>
        <w:numPr>
          <w:ilvl w:val="0"/>
          <w:numId w:val="1021"/>
        </w:numPr>
      </w:pPr>
      <w:r>
        <w:t xml:space="preserve">for each of the seven conditions on the checklist, identify whether it is present, partially present, or absent, with evidence from the case,</w:t>
      </w:r>
    </w:p>
    <w:p>
      <w:pPr>
        <w:pStyle w:val="Compact"/>
        <w:numPr>
          <w:ilvl w:val="0"/>
          <w:numId w:val="1021"/>
        </w:numPr>
      </w:pPr>
      <w:r>
        <w:t xml:space="preserve">identify the binding constraint — the missing or unfavourable condition that most explains the case’s outcome,</w:t>
      </w:r>
    </w:p>
    <w:p>
      <w:pPr>
        <w:pStyle w:val="Compact"/>
        <w:numPr>
          <w:ilvl w:val="0"/>
          <w:numId w:val="1021"/>
        </w:numPr>
      </w:pPr>
      <w:r>
        <w:t xml:space="preserve">deliver a status verdict (succeeding / partially succeeding / stalled) that follows from the conditions assessment, and</w:t>
      </w:r>
    </w:p>
    <w:p>
      <w:pPr>
        <w:pStyle w:val="Compact"/>
        <w:numPr>
          <w:ilvl w:val="0"/>
          <w:numId w:val="1021"/>
        </w:numPr>
      </w:pPr>
      <w:r>
        <w:t xml:space="preserve">close with a brief reflection on what the case implies for the climate-governance challenge in Lecture 9.</w:t>
      </w:r>
    </w:p>
    <w:p>
      <w:pPr>
        <w:pStyle w:val="FirstParagraph"/>
      </w:pPr>
      <w:r>
        <w:t xml:space="preserve">Note: these cases are deliberately under-determined. There is no single correct verdict — you will be assessed on the strength of the reasoning chain (conditions assessment → binding constraint → status verdict → climate reflection), not on which verdict you reach.</w:t>
      </w:r>
    </w:p>
    <w:bookmarkEnd w:id="56"/>
    <w:bookmarkStart w:id="57" w:name="tool-summary-5"/>
    <w:p>
      <w:pPr>
        <w:pStyle w:val="Heading3"/>
      </w:pPr>
      <w:r>
        <w:t xml:space="preserve">Tool summary</w:t>
      </w:r>
    </w:p>
    <w:p>
      <w:pPr>
        <w:pStyle w:val="FirstParagraph"/>
      </w:pPr>
      <w:r>
        <w:rPr>
          <w:b/>
          <w:bCs/>
        </w:rPr>
        <w:t xml:space="preserve">Conditions for success (after Haas 1992; Young 2011).</w:t>
      </w:r>
      <w:r>
        <w:t xml:space="preserve"> </w:t>
      </w:r>
      <w:r>
        <w:t xml:space="preserve">Ask, for each condition, whether it is present, partially present, or absent in your case — and which condition is the binding constraint.</w:t>
      </w:r>
    </w:p>
    <w:p>
      <w:pPr>
        <w:pStyle w:val="Compact"/>
        <w:numPr>
          <w:ilvl w:val="0"/>
          <w:numId w:val="1022"/>
        </w:numPr>
      </w:pPr>
      <w:r>
        <w:t xml:space="preserve">Scientific consensus + epistemic community.</w:t>
      </w:r>
    </w:p>
    <w:p>
      <w:pPr>
        <w:pStyle w:val="Compact"/>
        <w:numPr>
          <w:ilvl w:val="0"/>
          <w:numId w:val="1022"/>
        </w:numPr>
      </w:pPr>
      <w:r>
        <w:t xml:space="preserve">Concentrated industry / actors.</w:t>
      </w:r>
    </w:p>
    <w:p>
      <w:pPr>
        <w:pStyle w:val="Compact"/>
        <w:numPr>
          <w:ilvl w:val="0"/>
          <w:numId w:val="1022"/>
        </w:numPr>
      </w:pPr>
      <w:r>
        <w:t xml:space="preserve">Available technological substitutes.</w:t>
      </w:r>
    </w:p>
    <w:p>
      <w:pPr>
        <w:pStyle w:val="Compact"/>
        <w:numPr>
          <w:ilvl w:val="0"/>
          <w:numId w:val="1022"/>
        </w:numPr>
      </w:pPr>
      <w:r>
        <w:t xml:space="preserve">Asymmetric costs favouring cooperation.</w:t>
      </w:r>
    </w:p>
    <w:p>
      <w:pPr>
        <w:pStyle w:val="Compact"/>
        <w:numPr>
          <w:ilvl w:val="0"/>
          <w:numId w:val="1022"/>
        </w:numPr>
      </w:pPr>
      <w:r>
        <w:t xml:space="preserve">Distributional mechanisms.</w:t>
      </w:r>
    </w:p>
    <w:p>
      <w:pPr>
        <w:pStyle w:val="Compact"/>
        <w:numPr>
          <w:ilvl w:val="0"/>
          <w:numId w:val="1022"/>
        </w:numPr>
      </w:pPr>
      <w:r>
        <w:t xml:space="preserve">Institutional design (monitoring, verification, enforcement).</w:t>
      </w:r>
    </w:p>
    <w:p>
      <w:pPr>
        <w:pStyle w:val="Compact"/>
        <w:numPr>
          <w:ilvl w:val="0"/>
          <w:numId w:val="1022"/>
        </w:numPr>
      </w:pPr>
      <w:r>
        <w:t xml:space="preserve">Political leadership.</w:t>
      </w:r>
    </w:p>
    <w:p>
      <w:pPr>
        <w:pStyle w:val="FirstParagraph"/>
      </w:pPr>
      <w:r>
        <w:rPr>
          <w:b/>
          <w:bCs/>
        </w:rPr>
        <w:t xml:space="preserve">Epistemic community (Haas 1992).</w:t>
      </w:r>
      <w:r>
        <w:t xml:space="preserve"> </w:t>
      </w:r>
      <w:r>
        <w:t xml:space="preserve">More than scientific consensus alone — a network with shared normative and causal beliefs, shared standards for validating knowledge, and a common policy enterprise, connected into the policy process.</w:t>
      </w:r>
    </w:p>
    <w:p>
      <w:pPr>
        <w:pStyle w:val="BodyText"/>
      </w:pPr>
      <w:r>
        <w:rPr>
          <w:b/>
          <w:bCs/>
        </w:rPr>
        <w:t xml:space="preserve">Industry as a variable (Kennard 2020).</w:t>
      </w:r>
      <w:r>
        <w:t xml:space="preserve"> </w:t>
      </w:r>
      <w:r>
        <w:t xml:space="preserve">Industry is not monolithically opposed to environmental regulation. Firms whose compliance costs are lower than their rivals’ can gain from regulation and lobby for it. Identify which firms (if any) are on which side of your case, and whether the pro-regulation ones have been mobilised.</w:t>
      </w:r>
    </w:p>
    <w:bookmarkEnd w:id="57"/>
    <w:bookmarkStart w:id="58" w:name="case-specifics-from-the-case-pack-5"/>
    <w:p>
      <w:pPr>
        <w:pStyle w:val="Heading3"/>
      </w:pPr>
      <w:r>
        <w:t xml:space="preserve">Case specifics (from the case pack)</w:t>
      </w:r>
    </w:p>
    <w:p>
      <w:pPr>
        <w:pStyle w:val="FirstParagraph"/>
      </w:pPr>
      <w:r>
        <w:t xml:space="preserve">The Convention on Biological Diversity, in place since 1993, established the global framework for biodiversity conservation, sustainable use, and benefit-sharing. The 2010–2020 period was governed by the Aichi Biodiversity Targets, most of which were not met by their 2020 deadline. The 2022 Kunming-Montreal Global Biodiversity Framework reset targets through 2030, including the</w:t>
      </w:r>
      <w:r>
        <w:t xml:space="preserve"> </w:t>
      </w:r>
      <w:r>
        <w:t xml:space="preserve">“</w:t>
      </w:r>
      <w:r>
        <w:t xml:space="preserve">30-by-30</w:t>
      </w:r>
      <w:r>
        <w:t xml:space="preserve">”</w:t>
      </w:r>
      <w:r>
        <w:t xml:space="preserve"> </w:t>
      </w:r>
      <w:r>
        <w:t xml:space="preserve">protected-area goal. The Biodiversity Beyond National Jurisdiction (BBNJ) Treaty, finalised in June 2023 after nearly two decades of negotiation, addresses biodiversity in the high seas — an area that had been a significant gap in international ocean governance.</w:t>
      </w:r>
    </w:p>
    <w:p>
      <w:pPr>
        <w:pStyle w:val="BodyText"/>
      </w:pPr>
      <w:r>
        <w:rPr>
          <w:b/>
          <w:bCs/>
        </w:rPr>
        <w:t xml:space="preserve">Case: the agency’s data</w:t>
      </w:r>
    </w:p>
    <w:p>
      <w:pPr>
        <w:pStyle w:val="Compact"/>
        <w:numPr>
          <w:ilvl w:val="0"/>
          <w:numId w:val="1023"/>
        </w:numPr>
      </w:pPr>
      <w:r>
        <w:t xml:space="preserve">Origins: the 1992 Rio Earth Summit, which produced the CBD; the 2010 Aichi Targets period; growing evidence of biodiversity loss through the 2010s; the 2022 IPBES global assessment.</w:t>
      </w:r>
    </w:p>
    <w:p>
      <w:pPr>
        <w:pStyle w:val="Compact"/>
        <w:numPr>
          <w:ilvl w:val="0"/>
          <w:numId w:val="1023"/>
        </w:numPr>
      </w:pPr>
      <w:r>
        <w:t xml:space="preserve">Producers and users: marine resource-extraction industries (fishing fleets, deep-sea mining contractors) sit with a moderate number of firms; activities affecting terrestrial biodiversity (agriculture, forestry, land development) involve a very large and dispersed set of actors.</w:t>
      </w:r>
    </w:p>
    <w:p>
      <w:pPr>
        <w:pStyle w:val="Compact"/>
        <w:numPr>
          <w:ilvl w:val="0"/>
          <w:numId w:val="1023"/>
        </w:numPr>
      </w:pPr>
      <w:r>
        <w:t xml:space="preserve">Technology: alternatives available for some uses (alternative proteins, sustainable forestry practices); limited for others (deep-sea mining alternatives, shipping-route alternatives).</w:t>
      </w:r>
    </w:p>
    <w:p>
      <w:pPr>
        <w:pStyle w:val="Compact"/>
        <w:numPr>
          <w:ilvl w:val="0"/>
          <w:numId w:val="1023"/>
        </w:numPr>
      </w:pPr>
      <w:r>
        <w:t xml:space="preserve">Cost and benefit distribution: conservation costs tend to fall on identifiable actors (extraction industries, coastal states); benefits are diffuse across the global population and accrue slowly over time.</w:t>
      </w:r>
    </w:p>
    <w:p>
      <w:pPr>
        <w:pStyle w:val="Compact"/>
        <w:numPr>
          <w:ilvl w:val="0"/>
          <w:numId w:val="1023"/>
        </w:numPr>
      </w:pPr>
      <w:r>
        <w:t xml:space="preserve">Funding arrangements: GEF biodiversity allocations; the Kunming Biodiversity Fund (established 2022); the BBNJ Treaty includes capacity-building and technology-transfer provisions. Total funding scale relative to the scale of the need is a recurring point of debate.</w:t>
      </w:r>
    </w:p>
    <w:p>
      <w:pPr>
        <w:pStyle w:val="Compact"/>
        <w:numPr>
          <w:ilvl w:val="0"/>
          <w:numId w:val="1023"/>
        </w:numPr>
      </w:pPr>
      <w:r>
        <w:t xml:space="preserve">International bodies: the CBD framework operates through biennial COPs; the BBNJ Treaty adds a separate high-seas governance structure with its own COP; CITES and the Ramsar Convention operate as separate related instruments.</w:t>
      </w:r>
    </w:p>
    <w:p>
      <w:pPr>
        <w:pStyle w:val="Compact"/>
        <w:numPr>
          <w:ilvl w:val="0"/>
          <w:numId w:val="1023"/>
        </w:numPr>
      </w:pPr>
      <w:r>
        <w:t xml:space="preserve">Government actors: high-level political attention was mobilised around the 2022 COP15 Kunming-Montreal summit; the degree of sustained attention to implementation has differed since.</w:t>
      </w:r>
    </w:p>
    <w:p>
      <w:pPr>
        <w:pStyle w:val="Compact"/>
        <w:numPr>
          <w:ilvl w:val="0"/>
          <w:numId w:val="1023"/>
        </w:numPr>
      </w:pPr>
      <w:r>
        <w:t xml:space="preserve">Progress: the BBNJ Treaty advanced after a long delay (finalised 19 June 2023; signed 20 September 2023; 60th ratification deposited 19 September 2025; entry into force 17 January 2026). The Kunming-Montreal Framework has been adopted, though implementation has faced visible challenges, and progress toward the 30-by-30 protected-area target has been mixed.</w:t>
      </w:r>
    </w:p>
    <w:bookmarkEnd w:id="58"/>
    <w:bookmarkStart w:id="59" w:name="X568068362dc8e4133806000961525b2dac20a29"/>
    <w:p>
      <w:pPr>
        <w:pStyle w:val="Heading3"/>
      </w:pPr>
      <w:r>
        <w:t xml:space="preserve">Discussion questions from the case pack</w:t>
      </w:r>
    </w:p>
    <w:p>
      <w:pPr>
        <w:pStyle w:val="Compact"/>
        <w:numPr>
          <w:ilvl w:val="0"/>
          <w:numId w:val="1024"/>
        </w:numPr>
      </w:pPr>
      <w:r>
        <w:t xml:space="preserve">Apply the conditions checklist. Where does the case compare favourably to the Plastic Treaty case, and where does it compare unfavourably?</w:t>
      </w:r>
    </w:p>
    <w:p>
      <w:pPr>
        <w:pStyle w:val="Compact"/>
        <w:numPr>
          <w:ilvl w:val="0"/>
          <w:numId w:val="1024"/>
        </w:numPr>
      </w:pPr>
      <w:r>
        <w:t xml:space="preserve">What enabled the BBNJ Treaty to advance after such a long delay?</w:t>
      </w:r>
    </w:p>
    <w:p>
      <w:pPr>
        <w:pStyle w:val="Compact"/>
        <w:numPr>
          <w:ilvl w:val="0"/>
          <w:numId w:val="1024"/>
        </w:numPr>
      </w:pPr>
      <w:r>
        <w:t xml:space="preserve">The case shows internal variation — the BBNJ Treaty, broader CBD implementation, and specific sub-domains (deep-sea mining, fisheries) don’t necessarily tell the same story. What do you make of that variation?</w:t>
      </w:r>
    </w:p>
    <w:p>
      <w:pPr>
        <w:pStyle w:val="Compact"/>
        <w:numPr>
          <w:ilvl w:val="0"/>
          <w:numId w:val="1024"/>
        </w:numPr>
      </w:pPr>
      <w:r>
        <w:t xml:space="preserve">Compare to the Plastic Treaty: both cases began from structurally difficult conditions. What made the difference in their trajectories?</w:t>
      </w:r>
    </w:p>
    <w:p>
      <w:pPr>
        <w:pStyle w:val="Compact"/>
        <w:numPr>
          <w:ilvl w:val="0"/>
          <w:numId w:val="1024"/>
        </w:numPr>
      </w:pPr>
      <w:r>
        <w:t xml:space="preserve">Climate reflection: BBNJ took nearly two decades to reach agreement. What does its trajectory suggest about the role of sustained institutional effort in cases with difficult starting conditions, and what might that imply for climate strategy?</w:t>
      </w:r>
    </w:p>
    <w:bookmarkEnd w:id="59"/>
    <w:bookmarkEnd w:id="60"/>
    <w:bookmarkEnd w:id="61"/>
    <w:sectPr w:rsidR="0025775B" w:rsidSect="00034616">
      <w:pgSz w:h="15840" w:w="12240"/>
      <w:pgMar w:bottom="1440" w:footer="720" w:gutter="0" w:header="720" w:left="1800" w:right="180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C310EC42"/>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E4089024"/>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15:restartNumberingAfterBreak="0"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15:restartNumberingAfterBreak="0"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15:restartNumberingAfterBreak="0"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15:restartNumberingAfterBreak="0"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15:restartNumberingAfterBreak="0"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15:restartNumberingAfterBreak="0"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973555985" w:numId="1">
    <w:abstractNumId w:val="8"/>
  </w:num>
  <w:num w16cid:durableId="1366563869" w:numId="2">
    <w:abstractNumId w:val="6"/>
  </w:num>
  <w:num w16cid:durableId="1202668815" w:numId="3">
    <w:abstractNumId w:val="5"/>
  </w:num>
  <w:num w16cid:durableId="892079298" w:numId="4">
    <w:abstractNumId w:val="4"/>
  </w:num>
  <w:num w16cid:durableId="1506898117" w:numId="5">
    <w:abstractNumId w:val="7"/>
  </w:num>
  <w:num w16cid:durableId="2120489874" w:numId="6">
    <w:abstractNumId w:val="3"/>
  </w:num>
  <w:num w16cid:durableId="1656684556" w:numId="7">
    <w:abstractNumId w:val="2"/>
  </w:num>
  <w:num w16cid:durableId="505946227" w:numId="8">
    <w:abstractNumId w:val="1"/>
  </w:num>
  <w:num w16cid:durableId="617180631" w:numId="9">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23"/>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775B"/>
    <w:rsid w:val="0029639D"/>
    <w:rsid w:val="00326F90"/>
    <w:rsid w:val="005D1614"/>
    <w:rsid w:val="00AA1D8D"/>
    <w:rsid w:val="00B47730"/>
    <w:rsid w:val="00CB0664"/>
    <w:rsid w:val="00D4168F"/>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FC693F"/>
  </w:style>
  <w:style w:styleId="Heading1" w:type="paragraph">
    <w:name w:val="heading 1"/>
    <w:basedOn w:val="Normal"/>
    <w:next w:val="Normal"/>
    <w:link w:val="Heading1Char"/>
    <w:uiPriority w:val="9"/>
    <w:qFormat/>
    <w:rsid w:val="00FC693F"/>
    <w:pPr>
      <w:keepNext/>
      <w:keepLines/>
      <w:spacing w:after="0" w:before="480"/>
      <w:outlineLvl w:val="0"/>
    </w:pPr>
    <w:rPr>
      <w:rFonts w:asciiTheme="majorHAnsi" w:cstheme="majorBidi" w:eastAsiaTheme="majorEastAsia" w:hAnsiTheme="majorHAnsi"/>
      <w:b/>
      <w:bCs/>
      <w:color w:themeColor="accent1" w:themeShade="BF" w:val="365F91"/>
      <w:sz w:val="28"/>
      <w:szCs w:val="28"/>
    </w:rPr>
  </w:style>
  <w:style w:styleId="Heading2" w:type="paragraph">
    <w:name w:val="heading 2"/>
    <w:basedOn w:val="Normal"/>
    <w:next w:val="Normal"/>
    <w:link w:val="Heading2Char"/>
    <w:uiPriority w:val="9"/>
    <w:unhideWhenUsed/>
    <w:qFormat/>
    <w:rsid w:val="00FC693F"/>
    <w:pPr>
      <w:keepNext/>
      <w:keepLines/>
      <w:spacing w:after="0" w:before="200"/>
      <w:outlineLvl w:val="1"/>
    </w:pPr>
    <w:rPr>
      <w:rFonts w:asciiTheme="majorHAnsi" w:cstheme="majorBidi" w:eastAsiaTheme="majorEastAsia" w:hAnsiTheme="majorHAnsi"/>
      <w:b/>
      <w:bCs/>
      <w:color w:themeColor="accent1" w:val="4F81BD"/>
      <w:sz w:val="26"/>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urfulShading" w:type="table">
    <w:name w:val="Colorful Shading"/>
    <w:basedOn w:val="TableNormal"/>
    <w:uiPriority w:val="71"/>
    <w:rsid w:val="00CB0664"/>
    <w:pPr>
      <w:spacing w:after="0" w:line="240" w:lineRule="auto"/>
    </w:pPr>
    <w:rPr>
      <w:color w:themeColor="text1" w:val="000000"/>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u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u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u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u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u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u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urfulList" w:type="table">
    <w:name w:val="Colorful List"/>
    <w:basedOn w:val="TableNormal"/>
    <w:uiPriority w:val="72"/>
    <w:rsid w:val="00CB0664"/>
    <w:pPr>
      <w:spacing w:after="0" w:line="240" w:lineRule="auto"/>
    </w:pPr>
    <w:rPr>
      <w:color w:themeColor="text1" w:val="000000"/>
    </w:rPr>
    <w:tblPr>
      <w:tblStyleRowBandSize w:val="1"/>
      <w:tblStyleColBandSize w:val="1"/>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u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u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u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u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u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u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urfulGrid" w:type="table">
    <w:name w:val="Colorful Grid"/>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u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u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u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u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u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u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4115</Words>
  <Characters>23456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27516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2026-07-08T14:10:04Z</dcterms:created>
  <dcterms:modified xsi:type="dcterms:W3CDTF">2026-07-08T14:10:04Z</dcterms:modified>
</cp:coreProperties>
</file>

<file path=docProps/custom.xml><?xml version="1.0" encoding="utf-8"?>
<Properties xmlns="http://schemas.openxmlformats.org/officeDocument/2006/custom-properties" xmlns:vt="http://schemas.openxmlformats.org/officeDocument/2006/docPropsVTypes"/>
</file>