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94E4BE" w14:textId="77777777" w:rsidR="004927EA" w:rsidRDefault="00000000">
      <w:pPr>
        <w:pStyle w:val="Heading1"/>
      </w:pPr>
      <w:bookmarkStart w:id="0" w:name="classifying-a-welfare-state-worksheet"/>
      <w:r>
        <w:t>Classifying a Welfare State — Worksheet</w:t>
      </w:r>
    </w:p>
    <w:p w14:paraId="1B1844B0" w14:textId="64E1D011" w:rsidR="004927EA" w:rsidRDefault="00000000">
      <w:pPr>
        <w:pStyle w:val="Heading2"/>
      </w:pPr>
      <w:bookmarkStart w:id="1" w:name="X1b3aae139df91b42b5398747ca02e74225613b1"/>
      <w:r>
        <w:t xml:space="preserve">Sweden </w:t>
      </w:r>
    </w:p>
    <w:p w14:paraId="0D0FCA90" w14:textId="77777777" w:rsidR="004927EA" w:rsidRDefault="00000000">
      <w:r>
        <w:rPr>
          <w:i/>
          <w:iCs/>
        </w:rPr>
        <w:t>IR227 Seminar 6 — Group worksheet</w:t>
      </w:r>
    </w:p>
    <w:p w14:paraId="31DAB9C0" w14:textId="77777777" w:rsidR="004927EA" w:rsidRDefault="00000000">
      <w:pPr>
        <w:pStyle w:val="Heading3"/>
      </w:pPr>
      <w:bookmarkStart w:id="2" w:name="task"/>
      <w:r>
        <w:t>Task</w:t>
      </w:r>
    </w:p>
    <w:p w14:paraId="2F14C082" w14:textId="77777777" w:rsidR="004927EA" w:rsidRDefault="00000000">
      <w:r>
        <w:t>Take your assigned country’s welfare-state arrangements and produce a short diagnostic memo: classify the welfare regime, name the coalition that built it, and assess whether policy feedback has made it durable or is eroding it.</w:t>
      </w:r>
    </w:p>
    <w:p w14:paraId="4A2A1930" w14:textId="77777777" w:rsidR="004927EA" w:rsidRDefault="00000000">
      <w:pPr>
        <w:pStyle w:val="BodyText"/>
      </w:pPr>
      <w:r>
        <w:t>The analytical tools you will deploy are: Esping-Andersen’s three-worlds typology, power-resources theory, and Pierson’s policy-feedback framework.</w:t>
      </w:r>
    </w:p>
    <w:p w14:paraId="4C1517BC" w14:textId="77777777" w:rsidR="004927EA" w:rsidRDefault="00000000">
      <w:pPr>
        <w:pStyle w:val="Heading3"/>
      </w:pPr>
      <w:bookmarkStart w:id="3" w:name="requirements"/>
      <w:bookmarkEnd w:id="2"/>
      <w:r>
        <w:t>Requirements</w:t>
      </w:r>
    </w:p>
    <w:p w14:paraId="603C6435" w14:textId="77777777" w:rsidR="004927EA" w:rsidRDefault="00000000">
      <w:pPr>
        <w:numPr>
          <w:ilvl w:val="0"/>
          <w:numId w:val="11"/>
        </w:numPr>
      </w:pPr>
      <w:r>
        <w:t>classify the country’s welfare-state arrangement using Esping-Andersen’s typology, and say explicitly where the classification fits and where it doesn’t,</w:t>
      </w:r>
    </w:p>
    <w:p w14:paraId="07DD2817" w14:textId="77777777" w:rsidR="004927EA" w:rsidRDefault="00000000">
      <w:pPr>
        <w:numPr>
          <w:ilvl w:val="0"/>
          <w:numId w:val="11"/>
        </w:numPr>
      </w:pPr>
      <w:r>
        <w:t>name the political coalition(s) that produced the configuration, in power-resources terms,</w:t>
      </w:r>
    </w:p>
    <w:p w14:paraId="4A579DDF" w14:textId="77777777" w:rsidR="004927EA" w:rsidRDefault="00000000">
      <w:pPr>
        <w:numPr>
          <w:ilvl w:val="0"/>
          <w:numId w:val="11"/>
        </w:numPr>
      </w:pPr>
      <w:r>
        <w:t>analyse the policy-feedback dynamics that have made (or unmade) the arrangement durable, and</w:t>
      </w:r>
    </w:p>
    <w:p w14:paraId="1E505199" w14:textId="77777777" w:rsidR="004927EA" w:rsidRDefault="00000000">
      <w:pPr>
        <w:numPr>
          <w:ilvl w:val="0"/>
          <w:numId w:val="11"/>
        </w:numPr>
      </w:pPr>
      <w:r>
        <w:t>close with a portability reflection: which elements of the framework apply to your case, and which require adaptation.</w:t>
      </w:r>
    </w:p>
    <w:p w14:paraId="0A572F68" w14:textId="77777777" w:rsidR="004927EA" w:rsidRDefault="00000000">
      <w:r>
        <w:t>Note: these cases are deliberately under-determined. There is no single correct verdict — you will be assessed on the strength of the reasoning chain (classification → coalition → feedback → portability reflection), not on which verdict you reach.</w:t>
      </w:r>
    </w:p>
    <w:p w14:paraId="4DC24D92" w14:textId="77777777" w:rsidR="004927EA" w:rsidRDefault="00000000">
      <w:pPr>
        <w:pStyle w:val="Heading3"/>
      </w:pPr>
      <w:bookmarkStart w:id="4" w:name="tool-summary"/>
      <w:bookmarkEnd w:id="3"/>
      <w:r>
        <w:t>Tool summary</w:t>
      </w:r>
    </w:p>
    <w:p w14:paraId="3226BAFF" w14:textId="77777777" w:rsidR="004927EA" w:rsidRDefault="00000000">
      <w:r>
        <w:rPr>
          <w:b/>
          <w:bCs/>
        </w:rPr>
        <w:t>Esping-Andersen’s three worlds (Esping-Andersen 1990).</w:t>
      </w:r>
      <w:r>
        <w:t xml:space="preserve"> Ask which world a country’s welfare-state design most resembles, using decommodification — the degree to which a person can maintain a livelihood without relying on the market — as the key measure.</w:t>
      </w:r>
    </w:p>
    <w:p w14:paraId="12E0A421" w14:textId="77777777" w:rsidR="004927EA" w:rsidRDefault="00000000">
      <w:pPr>
        <w:numPr>
          <w:ilvl w:val="0"/>
          <w:numId w:val="12"/>
        </w:numPr>
      </w:pPr>
      <w:r>
        <w:t>Liberal — market-residual; means-tested benefits dominate; modest decommodification.</w:t>
      </w:r>
    </w:p>
    <w:p w14:paraId="4F053125" w14:textId="77777777" w:rsidR="004927EA" w:rsidRDefault="00000000">
      <w:pPr>
        <w:numPr>
          <w:ilvl w:val="0"/>
          <w:numId w:val="12"/>
        </w:numPr>
      </w:pPr>
      <w:r>
        <w:t>Conservative-corporatist — status-preserving; benefits tied to labour-market/occupational participation; strong family role.</w:t>
      </w:r>
    </w:p>
    <w:p w14:paraId="153B4A43" w14:textId="77777777" w:rsidR="004927EA" w:rsidRDefault="00000000">
      <w:pPr>
        <w:numPr>
          <w:ilvl w:val="0"/>
          <w:numId w:val="12"/>
        </w:numPr>
      </w:pPr>
      <w:r>
        <w:t>Social-democratic — universalist; state provision; high decommodification; defamilialised (the state, not the family, absorbs care work).</w:t>
      </w:r>
    </w:p>
    <w:p w14:paraId="1E9C9C72" w14:textId="77777777" w:rsidR="004927EA" w:rsidRDefault="00000000">
      <w:r>
        <w:rPr>
          <w:b/>
          <w:bCs/>
        </w:rPr>
        <w:lastRenderedPageBreak/>
        <w:t>Power-resources theory (Huber and Stephens 2001).</w:t>
      </w:r>
      <w:r>
        <w:t xml:space="preserve"> Ask which political coalition built and sustains the arrangement — this is broader than labour-union strength alone.</w:t>
      </w:r>
    </w:p>
    <w:p w14:paraId="792A8C6A" w14:textId="77777777" w:rsidR="004927EA" w:rsidRDefault="00000000">
      <w:pPr>
        <w:numPr>
          <w:ilvl w:val="0"/>
          <w:numId w:val="13"/>
        </w:numPr>
      </w:pPr>
      <w:r>
        <w:t>Where labour was strong and could ally with middle-class farmers or white-collar workers, comprehensive welfare states emerged.</w:t>
      </w:r>
    </w:p>
    <w:p w14:paraId="7059B7E4" w14:textId="77777777" w:rsidR="004927EA" w:rsidRDefault="00000000">
      <w:pPr>
        <w:numPr>
          <w:ilvl w:val="0"/>
          <w:numId w:val="13"/>
        </w:numPr>
      </w:pPr>
      <w:r>
        <w:t>Where labour was weaker or divided, residual or segmented systems developed.</w:t>
      </w:r>
    </w:p>
    <w:p w14:paraId="3CF0898F" w14:textId="77777777" w:rsidR="004927EA" w:rsidRDefault="00000000">
      <w:pPr>
        <w:numPr>
          <w:ilvl w:val="0"/>
          <w:numId w:val="13"/>
        </w:numPr>
      </w:pPr>
      <w:r>
        <w:t>In middle-income contexts, look for programmatic parties competing for poor electorates, constitutional courts, and civil-society coalitions as alternative coalition-builders.</w:t>
      </w:r>
    </w:p>
    <w:p w14:paraId="72DA03CB" w14:textId="77777777" w:rsidR="004927EA" w:rsidRDefault="00000000">
      <w:r>
        <w:rPr>
          <w:b/>
          <w:bCs/>
        </w:rPr>
        <w:t>Pierson’s policy-feedback framework (Pierson 1993).</w:t>
      </w:r>
      <w:r>
        <w:t xml:space="preserve"> Ask how existing programmes shape the politics of subsequent reform attempts — feedback can entrench an arrangement or erode it.</w:t>
      </w:r>
    </w:p>
    <w:p w14:paraId="30D08293" w14:textId="77777777" w:rsidR="004927EA" w:rsidRDefault="00000000">
      <w:pPr>
        <w:numPr>
          <w:ilvl w:val="0"/>
          <w:numId w:val="14"/>
        </w:numPr>
      </w:pPr>
      <w:r>
        <w:t>Resource/incentive effects and interpretive/cognitive effects, across mass publics, interest groups, and government officials.</w:t>
      </w:r>
    </w:p>
    <w:p w14:paraId="4A2E16BF" w14:textId="77777777" w:rsidR="004927EA" w:rsidRDefault="00000000">
      <w:pPr>
        <w:numPr>
          <w:ilvl w:val="0"/>
          <w:numId w:val="14"/>
        </w:numPr>
      </w:pPr>
      <w:r>
        <w:t>Universal programmes tend to build broad constituencies; means-tested programmes tend to build narrower, more exposed ones.</w:t>
      </w:r>
    </w:p>
    <w:p w14:paraId="652B72F4" w14:textId="77777777" w:rsidR="004927EA" w:rsidRDefault="00000000">
      <w:pPr>
        <w:numPr>
          <w:ilvl w:val="0"/>
          <w:numId w:val="14"/>
        </w:numPr>
      </w:pPr>
      <w:r>
        <w:t>Feedback can also work against an arrangement: drift, retrenchment-via-inflation, gradual conversion.</w:t>
      </w:r>
    </w:p>
    <w:p w14:paraId="4EE5E51D" w14:textId="77777777" w:rsidR="004927EA" w:rsidRDefault="00000000">
      <w:pPr>
        <w:pStyle w:val="Heading3"/>
      </w:pPr>
      <w:bookmarkStart w:id="5" w:name="case-specifics-from-the-case-pack"/>
      <w:bookmarkEnd w:id="4"/>
      <w:r>
        <w:t>Case specifics (from the case pack)</w:t>
      </w:r>
    </w:p>
    <w:p w14:paraId="649367A5" w14:textId="77777777" w:rsidR="004927EA" w:rsidRDefault="00000000">
      <w:r>
        <w:t>Sweden’s core welfare-state programmes include a state pension system, publicly delivered and county-administered healthcare, and an extensive parental-leave and childcare system. Eligibility for the major programmes is generally based on citizenship or residence rather than on employment history or income testing. Public childcare has near-universal availability from a set age, and parental leave is long and split by default between parents, with a portion reserved specifically for each parent individually. Coverage across life stages — childhood, working life, sickness, old age — runs mainly through public institutions rather than through employer-provided or purely private arrangements.</w:t>
      </w:r>
    </w:p>
    <w:p w14:paraId="05FC042E" w14:textId="77777777" w:rsidR="004927EA" w:rsidRDefault="00000000">
      <w:pPr>
        <w:pStyle w:val="BodyText"/>
      </w:pPr>
      <w:r>
        <w:rPr>
          <w:b/>
          <w:bCs/>
        </w:rPr>
        <w:t>Case: the agency’s data</w:t>
      </w:r>
    </w:p>
    <w:p w14:paraId="30390705" w14:textId="77777777" w:rsidR="004927EA" w:rsidRDefault="00000000">
      <w:pPr>
        <w:numPr>
          <w:ilvl w:val="0"/>
          <w:numId w:val="15"/>
        </w:numPr>
      </w:pPr>
      <w:r>
        <w:t>Coalition history: a 1933 agreement between the Social Democratic Party (SAP) and the Farmers’ League — an alliance between an urban labour party and an agrarian party; a separate 1938 agreement between the trade-union confederation (LO) and the employers’ confederation (SAF) established a labour-management industrial-peace pact. SAP has held government for roughly 73 of the past 94 years (1932–2026).</w:t>
      </w:r>
    </w:p>
    <w:p w14:paraId="16CF0809" w14:textId="77777777" w:rsidR="004927EA" w:rsidRDefault="00000000">
      <w:pPr>
        <w:numPr>
          <w:ilvl w:val="0"/>
          <w:numId w:val="15"/>
        </w:numPr>
      </w:pPr>
      <w:r>
        <w:t xml:space="preserve">Welfare-state institutions: a supplementary national pension (from 1959), replaced by a new system combining a public income-based pension and a premium pension (from 1999); healthcare delivered through county-administered public institutions; </w:t>
      </w:r>
      <w:r>
        <w:lastRenderedPageBreak/>
        <w:t>a universal childcare entitlement (from 1985); parental leave of 480 days, 90 of which are reserved for each parent individually.</w:t>
      </w:r>
    </w:p>
    <w:p w14:paraId="1F74041C" w14:textId="77777777" w:rsidR="004927EA" w:rsidRDefault="00000000">
      <w:pPr>
        <w:numPr>
          <w:ilvl w:val="0"/>
          <w:numId w:val="15"/>
        </w:numPr>
      </w:pPr>
      <w:r>
        <w:t>Recent developments: post-2010 immigration politics; debates over pension adequacy; capacity pressures in the public healthcare system; a right-of-centre coalition government from 2022.</w:t>
      </w:r>
    </w:p>
    <w:p w14:paraId="40CE5A8C" w14:textId="77777777" w:rsidR="004927EA" w:rsidRDefault="00000000">
      <w:pPr>
        <w:pStyle w:val="Heading3"/>
      </w:pPr>
      <w:bookmarkStart w:id="6" w:name="discussion-questions-from-the-case-pack"/>
      <w:bookmarkEnd w:id="5"/>
      <w:r>
        <w:t>Discussion questions from the case pack</w:t>
      </w:r>
    </w:p>
    <w:p w14:paraId="4774856D" w14:textId="77777777" w:rsidR="004927EA" w:rsidRDefault="00000000">
      <w:pPr>
        <w:numPr>
          <w:ilvl w:val="0"/>
          <w:numId w:val="16"/>
        </w:numPr>
      </w:pPr>
      <w:r>
        <w:t>Which Esping-Andersen world does Sweden’s welfare-state design most resemble, and on which specific programme features do you base that? Is the fit uniform across programmes, or does it vary by life-course stage?</w:t>
      </w:r>
    </w:p>
    <w:p w14:paraId="5C2F74E5" w14:textId="77777777" w:rsidR="004927EA" w:rsidRDefault="00000000">
      <w:pPr>
        <w:numPr>
          <w:ilvl w:val="0"/>
          <w:numId w:val="16"/>
        </w:numPr>
      </w:pPr>
      <w:r>
        <w:t>Where is the “defamilialisation” dimension strongest, and where — if anywhere — is care work still assumed to fall on the family?</w:t>
      </w:r>
    </w:p>
    <w:p w14:paraId="23A46E47" w14:textId="77777777" w:rsidR="004927EA" w:rsidRDefault="00000000">
      <w:pPr>
        <w:numPr>
          <w:ilvl w:val="0"/>
          <w:numId w:val="16"/>
        </w:numPr>
      </w:pPr>
      <w:r>
        <w:t>What coalition, in power-resources terms, built this configuration — and is that same coalition still what sustains it today, or has the sustaining coalition changed?</w:t>
      </w:r>
    </w:p>
    <w:p w14:paraId="762761A5" w14:textId="77777777" w:rsidR="004927EA" w:rsidRDefault="00000000">
      <w:pPr>
        <w:numPr>
          <w:ilvl w:val="0"/>
          <w:numId w:val="16"/>
        </w:numPr>
      </w:pPr>
      <w:r>
        <w:t>Which Pierson feedback mechanisms, if any, are protecting the arrangement, and which, if any, are eroding it under recent strains?</w:t>
      </w:r>
    </w:p>
    <w:p w14:paraId="5FD9FE8F" w14:textId="77777777" w:rsidR="004927EA" w:rsidRDefault="00000000">
      <w:pPr>
        <w:numPr>
          <w:ilvl w:val="0"/>
          <w:numId w:val="16"/>
        </w:numPr>
      </w:pPr>
      <w:r>
        <w:t>Portability reflection: Sweden is one of the cases the Esping-Andersen typology was originally built from. What does “portability” even mean for a founding case — and does anything about Sweden’s current trajectory strain the original framework?</w:t>
      </w:r>
    </w:p>
    <w:p w14:paraId="4907AB76" w14:textId="77777777" w:rsidR="004927EA" w:rsidRDefault="00000000">
      <w:r>
        <w:br w:type="page"/>
      </w:r>
    </w:p>
    <w:p w14:paraId="46499CD7" w14:textId="77777777" w:rsidR="004927EA" w:rsidRDefault="00000000">
      <w:pPr>
        <w:pStyle w:val="Heading1"/>
      </w:pPr>
      <w:bookmarkStart w:id="7" w:name="classifying-a-welfare-state-worksheet-1"/>
      <w:bookmarkEnd w:id="0"/>
      <w:bookmarkEnd w:id="1"/>
      <w:bookmarkEnd w:id="6"/>
      <w:r>
        <w:lastRenderedPageBreak/>
        <w:t>Classifying a Welfare State — Worksheet</w:t>
      </w:r>
    </w:p>
    <w:p w14:paraId="1112CF2E" w14:textId="45F7FD0F" w:rsidR="004927EA" w:rsidRDefault="00000000">
      <w:pPr>
        <w:pStyle w:val="Heading2"/>
      </w:pPr>
      <w:bookmarkStart w:id="8" w:name="X56ceb919c71489f854652164d26433148205654"/>
      <w:r>
        <w:t xml:space="preserve">Germany </w:t>
      </w:r>
    </w:p>
    <w:p w14:paraId="19A2E0D8" w14:textId="77777777" w:rsidR="004927EA" w:rsidRDefault="00000000">
      <w:r>
        <w:rPr>
          <w:i/>
          <w:iCs/>
        </w:rPr>
        <w:t>IR227 Seminar 6 — Group worksheet</w:t>
      </w:r>
    </w:p>
    <w:p w14:paraId="18987CBD" w14:textId="77777777" w:rsidR="004927EA" w:rsidRDefault="00000000">
      <w:pPr>
        <w:pStyle w:val="Heading3"/>
      </w:pPr>
      <w:bookmarkStart w:id="9" w:name="task-1"/>
      <w:r>
        <w:t>Task</w:t>
      </w:r>
    </w:p>
    <w:p w14:paraId="2CF60FF7" w14:textId="77777777" w:rsidR="004927EA" w:rsidRDefault="00000000">
      <w:r>
        <w:t>Take your assigned country’s welfare-state arrangements and produce a short diagnostic memo: classify the welfare regime, name the coalition that built it, and assess whether policy feedback has made it durable or is eroding it.</w:t>
      </w:r>
    </w:p>
    <w:p w14:paraId="76CF3E22" w14:textId="77777777" w:rsidR="004927EA" w:rsidRDefault="00000000">
      <w:pPr>
        <w:pStyle w:val="BodyText"/>
      </w:pPr>
      <w:r>
        <w:t>The analytical tools you will deploy are: Esping-Andersen’s three-worlds typology, power-resources theory, and Pierson’s policy-feedback framework.</w:t>
      </w:r>
    </w:p>
    <w:p w14:paraId="078FA287" w14:textId="77777777" w:rsidR="004927EA" w:rsidRDefault="00000000">
      <w:pPr>
        <w:pStyle w:val="Heading3"/>
      </w:pPr>
      <w:bookmarkStart w:id="10" w:name="requirements-1"/>
      <w:bookmarkEnd w:id="9"/>
      <w:r>
        <w:t>Requirements</w:t>
      </w:r>
    </w:p>
    <w:p w14:paraId="2C5AD868" w14:textId="77777777" w:rsidR="004927EA" w:rsidRDefault="00000000">
      <w:pPr>
        <w:numPr>
          <w:ilvl w:val="0"/>
          <w:numId w:val="17"/>
        </w:numPr>
      </w:pPr>
      <w:r>
        <w:t>classify the country’s welfare-state arrangement using Esping-Andersen’s typology, and say explicitly where the classification fits and where it doesn’t,</w:t>
      </w:r>
    </w:p>
    <w:p w14:paraId="342CCC92" w14:textId="77777777" w:rsidR="004927EA" w:rsidRDefault="00000000">
      <w:pPr>
        <w:numPr>
          <w:ilvl w:val="0"/>
          <w:numId w:val="17"/>
        </w:numPr>
      </w:pPr>
      <w:r>
        <w:t>name the political coalition(s) that produced the configuration, in power-resources terms,</w:t>
      </w:r>
    </w:p>
    <w:p w14:paraId="35B0DF1F" w14:textId="77777777" w:rsidR="004927EA" w:rsidRDefault="00000000">
      <w:pPr>
        <w:numPr>
          <w:ilvl w:val="0"/>
          <w:numId w:val="17"/>
        </w:numPr>
      </w:pPr>
      <w:r>
        <w:t>analyse the policy-feedback dynamics that have made (or unmade) the arrangement durable, and</w:t>
      </w:r>
    </w:p>
    <w:p w14:paraId="5D6C792F" w14:textId="77777777" w:rsidR="004927EA" w:rsidRDefault="00000000">
      <w:pPr>
        <w:numPr>
          <w:ilvl w:val="0"/>
          <w:numId w:val="17"/>
        </w:numPr>
      </w:pPr>
      <w:r>
        <w:t>close with a portability reflection: which elements of the framework apply to your case, and which require adaptation.</w:t>
      </w:r>
    </w:p>
    <w:p w14:paraId="2571E082" w14:textId="77777777" w:rsidR="004927EA" w:rsidRDefault="00000000">
      <w:r>
        <w:t>Note: these cases are deliberately under-determined. There is no single correct verdict — you will be assessed on the strength of the reasoning chain (classification → coalition → feedback → portability reflection), not on which verdict you reach.</w:t>
      </w:r>
    </w:p>
    <w:p w14:paraId="1CBEAC4D" w14:textId="77777777" w:rsidR="004927EA" w:rsidRDefault="00000000">
      <w:pPr>
        <w:pStyle w:val="Heading3"/>
      </w:pPr>
      <w:bookmarkStart w:id="11" w:name="tool-summary-1"/>
      <w:bookmarkEnd w:id="10"/>
      <w:r>
        <w:t>Tool summary</w:t>
      </w:r>
    </w:p>
    <w:p w14:paraId="59E4CDFA" w14:textId="77777777" w:rsidR="004927EA" w:rsidRDefault="00000000">
      <w:r>
        <w:rPr>
          <w:b/>
          <w:bCs/>
        </w:rPr>
        <w:t>Esping-Andersen’s three worlds (Esping-Andersen 1990).</w:t>
      </w:r>
      <w:r>
        <w:t xml:space="preserve"> Ask which world a country’s welfare-state design most resembles, using decommodification — the degree to which a person can maintain a livelihood without relying on the market — as the key measure.</w:t>
      </w:r>
    </w:p>
    <w:p w14:paraId="39BEDF04" w14:textId="77777777" w:rsidR="004927EA" w:rsidRDefault="00000000">
      <w:pPr>
        <w:numPr>
          <w:ilvl w:val="0"/>
          <w:numId w:val="18"/>
        </w:numPr>
      </w:pPr>
      <w:r>
        <w:t>Liberal — market-residual; means-tested benefits dominate; modest decommodification.</w:t>
      </w:r>
    </w:p>
    <w:p w14:paraId="6A7E6535" w14:textId="77777777" w:rsidR="004927EA" w:rsidRDefault="00000000">
      <w:pPr>
        <w:numPr>
          <w:ilvl w:val="0"/>
          <w:numId w:val="18"/>
        </w:numPr>
      </w:pPr>
      <w:r>
        <w:t>Conservative-corporatist — status-preserving; benefits tied to labour-market/occupational participation; strong family role.</w:t>
      </w:r>
    </w:p>
    <w:p w14:paraId="0DFD8A68" w14:textId="77777777" w:rsidR="004927EA" w:rsidRDefault="00000000">
      <w:pPr>
        <w:numPr>
          <w:ilvl w:val="0"/>
          <w:numId w:val="18"/>
        </w:numPr>
      </w:pPr>
      <w:r>
        <w:t>Social-democratic — universalist; state provision; high decommodification; defamilialised (the state, not the family, absorbs care work).</w:t>
      </w:r>
    </w:p>
    <w:p w14:paraId="52B37DB0" w14:textId="77777777" w:rsidR="004927EA" w:rsidRDefault="00000000">
      <w:r>
        <w:rPr>
          <w:b/>
          <w:bCs/>
        </w:rPr>
        <w:t>Power-resources theory (Huber and Stephens 2001).</w:t>
      </w:r>
      <w:r>
        <w:t xml:space="preserve"> Ask which political coalition built and sustains the arrangement — this is broader than labour-union strength alone.</w:t>
      </w:r>
    </w:p>
    <w:p w14:paraId="4AE9B4D5" w14:textId="77777777" w:rsidR="004927EA" w:rsidRDefault="00000000">
      <w:pPr>
        <w:numPr>
          <w:ilvl w:val="0"/>
          <w:numId w:val="19"/>
        </w:numPr>
      </w:pPr>
      <w:r>
        <w:lastRenderedPageBreak/>
        <w:t>Where labour was strong and could ally with middle-class farmers or white-collar workers, comprehensive welfare states emerged.</w:t>
      </w:r>
    </w:p>
    <w:p w14:paraId="02CB3ECD" w14:textId="77777777" w:rsidR="004927EA" w:rsidRDefault="00000000">
      <w:pPr>
        <w:numPr>
          <w:ilvl w:val="0"/>
          <w:numId w:val="19"/>
        </w:numPr>
      </w:pPr>
      <w:r>
        <w:t>Where labour was weaker or divided, residual or segmented systems developed.</w:t>
      </w:r>
    </w:p>
    <w:p w14:paraId="4A34F5C5" w14:textId="77777777" w:rsidR="004927EA" w:rsidRDefault="00000000">
      <w:pPr>
        <w:numPr>
          <w:ilvl w:val="0"/>
          <w:numId w:val="19"/>
        </w:numPr>
      </w:pPr>
      <w:r>
        <w:t>In middle-income contexts, look for programmatic parties competing for poor electorates, constitutional courts, and civil-society coalitions as alternative coalition-builders.</w:t>
      </w:r>
    </w:p>
    <w:p w14:paraId="6CC5625A" w14:textId="77777777" w:rsidR="004927EA" w:rsidRDefault="00000000">
      <w:r>
        <w:rPr>
          <w:b/>
          <w:bCs/>
        </w:rPr>
        <w:t>Pierson’s policy-feedback framework (Pierson 1993).</w:t>
      </w:r>
      <w:r>
        <w:t xml:space="preserve"> Ask how existing programmes shape the politics of subsequent reform attempts — feedback can entrench an arrangement or erode it.</w:t>
      </w:r>
    </w:p>
    <w:p w14:paraId="6B5B1B17" w14:textId="77777777" w:rsidR="004927EA" w:rsidRDefault="00000000">
      <w:pPr>
        <w:numPr>
          <w:ilvl w:val="0"/>
          <w:numId w:val="20"/>
        </w:numPr>
      </w:pPr>
      <w:r>
        <w:t>Resource/incentive effects and interpretive/cognitive effects, across mass publics, interest groups, and government officials.</w:t>
      </w:r>
    </w:p>
    <w:p w14:paraId="212B4010" w14:textId="77777777" w:rsidR="004927EA" w:rsidRDefault="00000000">
      <w:pPr>
        <w:numPr>
          <w:ilvl w:val="0"/>
          <w:numId w:val="20"/>
        </w:numPr>
      </w:pPr>
      <w:r>
        <w:t>Universal programmes tend to build broad constituencies; means-tested programmes tend to build narrower, more exposed ones.</w:t>
      </w:r>
    </w:p>
    <w:p w14:paraId="13455F49" w14:textId="77777777" w:rsidR="004927EA" w:rsidRDefault="00000000">
      <w:pPr>
        <w:numPr>
          <w:ilvl w:val="0"/>
          <w:numId w:val="20"/>
        </w:numPr>
      </w:pPr>
      <w:r>
        <w:t>Feedback can also work against an arrangement: drift, retrenchment-via-inflation, gradual conversion.</w:t>
      </w:r>
    </w:p>
    <w:p w14:paraId="67653335" w14:textId="77777777" w:rsidR="004927EA" w:rsidRDefault="00000000">
      <w:pPr>
        <w:pStyle w:val="Heading3"/>
      </w:pPr>
      <w:bookmarkStart w:id="12" w:name="case-specifics-from-the-case-pack-1"/>
      <w:bookmarkEnd w:id="11"/>
      <w:r>
        <w:t>Case specifics (from the case pack)</w:t>
      </w:r>
    </w:p>
    <w:p w14:paraId="306A613B" w14:textId="77777777" w:rsidR="004927EA" w:rsidRDefault="00000000">
      <w:r>
        <w:t>Germany’s pension system ties benefit levels to occupational category and lifetime earnings history, financed through statutory contribution-based insurance rather than general taxation alone. Healthcare runs through statutory health insurance organised via occupational and regional sickness funds (Krankenkassen), rather than through a single national health service. Family-benefit design has historically assumed a male-breadwinner household, with a subsidiarity principle that assigns significant social-service provision to family, church, and voluntary organisations rather than the state directly — though this assumption has weakened over time.</w:t>
      </w:r>
    </w:p>
    <w:p w14:paraId="7C20DA43" w14:textId="77777777" w:rsidR="004927EA" w:rsidRDefault="00000000">
      <w:pPr>
        <w:pStyle w:val="BodyText"/>
      </w:pPr>
      <w:r>
        <w:rPr>
          <w:b/>
          <w:bCs/>
        </w:rPr>
        <w:t>Case: the agency’s data</w:t>
      </w:r>
    </w:p>
    <w:p w14:paraId="136247A2" w14:textId="77777777" w:rsidR="004927EA" w:rsidRDefault="00000000">
      <w:pPr>
        <w:numPr>
          <w:ilvl w:val="0"/>
          <w:numId w:val="21"/>
        </w:numPr>
      </w:pPr>
      <w:r>
        <w:t>Coalition history: Christian Democratic-led governments in office 1949–1969 and 1982–1998; Social Democratic-led periods 1969–1982 and various coalitions from 1998; a long-standing tradition of tripartite negotiation among government, employer associations, and trade unions (Sozialpartnerschaft).</w:t>
      </w:r>
    </w:p>
    <w:p w14:paraId="3C62DF1A" w14:textId="77777777" w:rsidR="004927EA" w:rsidRDefault="00000000">
      <w:pPr>
        <w:numPr>
          <w:ilvl w:val="0"/>
          <w:numId w:val="21"/>
        </w:numPr>
      </w:pPr>
      <w:r>
        <w:t>Welfare-state institutions: statutory pension insurance plus occupational and private supplementary pillars; statutory health insurance via Krankenkassen; long-term care insurance (Pflegeversicherung) introduced 1994; unemployment insurance restructured by the 2002–2005 Hartz reforms.</w:t>
      </w:r>
    </w:p>
    <w:p w14:paraId="3815CCB3" w14:textId="77777777" w:rsidR="004927EA" w:rsidRDefault="00000000">
      <w:pPr>
        <w:numPr>
          <w:ilvl w:val="0"/>
          <w:numId w:val="21"/>
        </w:numPr>
      </w:pPr>
      <w:r>
        <w:t>Reunification: 1990 reunification extended the existing West German welfare architecture to the East rather than redesigning it; substantial East-West disparities persisted for decades.</w:t>
      </w:r>
    </w:p>
    <w:p w14:paraId="375ACA37" w14:textId="77777777" w:rsidR="004927EA" w:rsidRDefault="00000000">
      <w:pPr>
        <w:numPr>
          <w:ilvl w:val="0"/>
          <w:numId w:val="21"/>
        </w:numPr>
      </w:pPr>
      <w:r>
        <w:lastRenderedPageBreak/>
        <w:t>Recent developments: the Hartz reforms created a new lower-wage labour-market segment; ongoing debates about gig-economy coverage gaps and long-term-care-insurance funding.</w:t>
      </w:r>
    </w:p>
    <w:p w14:paraId="310C7BFE" w14:textId="77777777" w:rsidR="004927EA" w:rsidRDefault="00000000">
      <w:pPr>
        <w:pStyle w:val="Heading3"/>
      </w:pPr>
      <w:bookmarkStart w:id="13" w:name="X4cf3b874869529e6c61abdce607a1eefc2e0dc7"/>
      <w:bookmarkEnd w:id="12"/>
      <w:r>
        <w:t>Discussion questions from the case pack</w:t>
      </w:r>
    </w:p>
    <w:p w14:paraId="46FD9B36" w14:textId="77777777" w:rsidR="004927EA" w:rsidRDefault="00000000">
      <w:pPr>
        <w:numPr>
          <w:ilvl w:val="0"/>
          <w:numId w:val="22"/>
        </w:numPr>
      </w:pPr>
      <w:r>
        <w:t>Which Esping-Andersen world does Germany’s welfare-state design most resemble, and on which features do you base that? Are there aspects the Hartz reforms have pushed away from that classification?</w:t>
      </w:r>
    </w:p>
    <w:p w14:paraId="0A383B97" w14:textId="77777777" w:rsidR="004927EA" w:rsidRDefault="00000000">
      <w:pPr>
        <w:numPr>
          <w:ilvl w:val="0"/>
          <w:numId w:val="22"/>
        </w:numPr>
      </w:pPr>
      <w:r>
        <w:t>What does the subsidiarity principle assume about household structure and who performs care work? How does this compare with what you’d expect from a different regime type?</w:t>
      </w:r>
    </w:p>
    <w:p w14:paraId="2A52C295" w14:textId="77777777" w:rsidR="004927EA" w:rsidRDefault="00000000">
      <w:pPr>
        <w:numPr>
          <w:ilvl w:val="0"/>
          <w:numId w:val="22"/>
        </w:numPr>
      </w:pPr>
      <w:r>
        <w:t>What coalition, in power-resources terms, built and sustained this design across the postwar decades?</w:t>
      </w:r>
    </w:p>
    <w:p w14:paraId="43FFA6D8" w14:textId="77777777" w:rsidR="004927EA" w:rsidRDefault="00000000">
      <w:pPr>
        <w:numPr>
          <w:ilvl w:val="0"/>
          <w:numId w:val="22"/>
        </w:numPr>
      </w:pPr>
      <w:r>
        <w:t>Compare with Sweden: both are wealthy Western European democracies with strong postwar welfare-state-building, yet are commonly placed in different Esping-Andersen worlds. What in the coalition histories, rather than in economic development levels, might account for the divergence?</w:t>
      </w:r>
    </w:p>
    <w:p w14:paraId="41B088B5" w14:textId="77777777" w:rsidR="004927EA" w:rsidRDefault="00000000">
      <w:r>
        <w:br w:type="page"/>
      </w:r>
    </w:p>
    <w:p w14:paraId="2C79523C" w14:textId="77777777" w:rsidR="004927EA" w:rsidRDefault="00000000">
      <w:pPr>
        <w:pStyle w:val="Heading1"/>
      </w:pPr>
      <w:bookmarkStart w:id="14" w:name="classifying-a-welfare-state-worksheet-2"/>
      <w:bookmarkEnd w:id="7"/>
      <w:bookmarkEnd w:id="8"/>
      <w:bookmarkEnd w:id="13"/>
      <w:r>
        <w:lastRenderedPageBreak/>
        <w:t>Classifying a Welfare State — Worksheet</w:t>
      </w:r>
    </w:p>
    <w:p w14:paraId="45549067" w14:textId="55B3FCF8" w:rsidR="004927EA" w:rsidRDefault="00000000">
      <w:pPr>
        <w:pStyle w:val="Heading2"/>
      </w:pPr>
      <w:bookmarkStart w:id="15" w:name="Xab69fce69a7c223327555adadcd642317471b77"/>
      <w:r>
        <w:t xml:space="preserve">United States </w:t>
      </w:r>
    </w:p>
    <w:p w14:paraId="583499A1" w14:textId="77777777" w:rsidR="004927EA" w:rsidRDefault="00000000">
      <w:r>
        <w:rPr>
          <w:i/>
          <w:iCs/>
        </w:rPr>
        <w:t>IR227 Seminar 6 — Group worksheet</w:t>
      </w:r>
    </w:p>
    <w:p w14:paraId="74F6AA00" w14:textId="77777777" w:rsidR="004927EA" w:rsidRDefault="00000000">
      <w:pPr>
        <w:pStyle w:val="Heading3"/>
      </w:pPr>
      <w:bookmarkStart w:id="16" w:name="task-2"/>
      <w:r>
        <w:t>Task</w:t>
      </w:r>
    </w:p>
    <w:p w14:paraId="35E4AD26" w14:textId="77777777" w:rsidR="004927EA" w:rsidRDefault="00000000">
      <w:r>
        <w:t>Take your assigned country’s welfare-state arrangements and produce a short diagnostic memo: classify the welfare regime, name the coalition that built it, and assess whether policy feedback has made it durable or is eroding it.</w:t>
      </w:r>
    </w:p>
    <w:p w14:paraId="20D35B0E" w14:textId="77777777" w:rsidR="004927EA" w:rsidRDefault="00000000">
      <w:pPr>
        <w:pStyle w:val="BodyText"/>
      </w:pPr>
      <w:r>
        <w:t>The analytical tools you will deploy are: Esping-Andersen’s three-worlds typology, power-resources theory, and Pierson’s policy-feedback framework.</w:t>
      </w:r>
    </w:p>
    <w:p w14:paraId="6758F02A" w14:textId="77777777" w:rsidR="004927EA" w:rsidRDefault="00000000">
      <w:pPr>
        <w:pStyle w:val="Heading3"/>
      </w:pPr>
      <w:bookmarkStart w:id="17" w:name="requirements-2"/>
      <w:bookmarkEnd w:id="16"/>
      <w:r>
        <w:t>Requirements</w:t>
      </w:r>
    </w:p>
    <w:p w14:paraId="5A02716B" w14:textId="77777777" w:rsidR="004927EA" w:rsidRDefault="00000000">
      <w:pPr>
        <w:numPr>
          <w:ilvl w:val="0"/>
          <w:numId w:val="23"/>
        </w:numPr>
      </w:pPr>
      <w:r>
        <w:t>classify the country’s welfare-state arrangement using Esping-Andersen’s typology, and say explicitly where the classification fits and where it doesn’t,</w:t>
      </w:r>
    </w:p>
    <w:p w14:paraId="2AC600DF" w14:textId="77777777" w:rsidR="004927EA" w:rsidRDefault="00000000">
      <w:pPr>
        <w:numPr>
          <w:ilvl w:val="0"/>
          <w:numId w:val="23"/>
        </w:numPr>
      </w:pPr>
      <w:r>
        <w:t>name the political coalition(s) that produced the configuration, in power-resources terms,</w:t>
      </w:r>
    </w:p>
    <w:p w14:paraId="091C2D2D" w14:textId="77777777" w:rsidR="004927EA" w:rsidRDefault="00000000">
      <w:pPr>
        <w:numPr>
          <w:ilvl w:val="0"/>
          <w:numId w:val="23"/>
        </w:numPr>
      </w:pPr>
      <w:r>
        <w:t>analyse the policy-feedback dynamics that have made (or unmade) the arrangement durable, and</w:t>
      </w:r>
    </w:p>
    <w:p w14:paraId="18FDD9BD" w14:textId="77777777" w:rsidR="004927EA" w:rsidRDefault="00000000">
      <w:pPr>
        <w:numPr>
          <w:ilvl w:val="0"/>
          <w:numId w:val="23"/>
        </w:numPr>
      </w:pPr>
      <w:r>
        <w:t>close with a portability reflection: which elements of the framework apply to your case, and which require adaptation.</w:t>
      </w:r>
    </w:p>
    <w:p w14:paraId="5D96D896" w14:textId="77777777" w:rsidR="004927EA" w:rsidRDefault="00000000">
      <w:r>
        <w:t>Note: these cases are deliberately under-determined. There is no single correct verdict — you will be assessed on the strength of the reasoning chain (classification → coalition → feedback → portability reflection), not on which verdict you reach.</w:t>
      </w:r>
    </w:p>
    <w:p w14:paraId="7EFFE3C8" w14:textId="77777777" w:rsidR="004927EA" w:rsidRDefault="00000000">
      <w:pPr>
        <w:pStyle w:val="Heading3"/>
      </w:pPr>
      <w:bookmarkStart w:id="18" w:name="tool-summary-2"/>
      <w:bookmarkEnd w:id="17"/>
      <w:r>
        <w:t>Tool summary</w:t>
      </w:r>
    </w:p>
    <w:p w14:paraId="39D26213" w14:textId="77777777" w:rsidR="004927EA" w:rsidRDefault="00000000">
      <w:r>
        <w:rPr>
          <w:b/>
          <w:bCs/>
        </w:rPr>
        <w:t>Esping-Andersen’s three worlds (Esping-Andersen 1990).</w:t>
      </w:r>
      <w:r>
        <w:t xml:space="preserve"> Ask which world a country’s welfare-state design most resembles, using decommodification — the degree to which a person can maintain a livelihood without relying on the market — as the key measure.</w:t>
      </w:r>
    </w:p>
    <w:p w14:paraId="57093477" w14:textId="77777777" w:rsidR="004927EA" w:rsidRDefault="00000000">
      <w:pPr>
        <w:numPr>
          <w:ilvl w:val="0"/>
          <w:numId w:val="24"/>
        </w:numPr>
      </w:pPr>
      <w:r>
        <w:t>Liberal — market-residual; means-tested benefits dominate; modest decommodification.</w:t>
      </w:r>
    </w:p>
    <w:p w14:paraId="172E909A" w14:textId="77777777" w:rsidR="004927EA" w:rsidRDefault="00000000">
      <w:pPr>
        <w:numPr>
          <w:ilvl w:val="0"/>
          <w:numId w:val="24"/>
        </w:numPr>
      </w:pPr>
      <w:r>
        <w:t>Conservative-corporatist — status-preserving; benefits tied to labour-market/occupational participation; strong family role.</w:t>
      </w:r>
    </w:p>
    <w:p w14:paraId="706E0F7A" w14:textId="77777777" w:rsidR="004927EA" w:rsidRDefault="00000000">
      <w:pPr>
        <w:numPr>
          <w:ilvl w:val="0"/>
          <w:numId w:val="24"/>
        </w:numPr>
      </w:pPr>
      <w:r>
        <w:t>Social-democratic — universalist; state provision; high decommodification; defamilialised (the state, not the family, absorbs care work).</w:t>
      </w:r>
    </w:p>
    <w:p w14:paraId="4954A99D" w14:textId="77777777" w:rsidR="004927EA" w:rsidRDefault="00000000">
      <w:r>
        <w:rPr>
          <w:b/>
          <w:bCs/>
        </w:rPr>
        <w:t>Power-resources theory (Huber and Stephens 2001).</w:t>
      </w:r>
      <w:r>
        <w:t xml:space="preserve"> Ask which political coalition built and sustains the arrangement — this is broader than labour-union strength alone.</w:t>
      </w:r>
    </w:p>
    <w:p w14:paraId="4FFBD442" w14:textId="77777777" w:rsidR="004927EA" w:rsidRDefault="00000000">
      <w:pPr>
        <w:numPr>
          <w:ilvl w:val="0"/>
          <w:numId w:val="25"/>
        </w:numPr>
      </w:pPr>
      <w:r>
        <w:lastRenderedPageBreak/>
        <w:t>Where labour was strong and could ally with middle-class farmers or white-collar workers, comprehensive welfare states emerged.</w:t>
      </w:r>
    </w:p>
    <w:p w14:paraId="0B0ADB38" w14:textId="77777777" w:rsidR="004927EA" w:rsidRDefault="00000000">
      <w:pPr>
        <w:numPr>
          <w:ilvl w:val="0"/>
          <w:numId w:val="25"/>
        </w:numPr>
      </w:pPr>
      <w:r>
        <w:t>Where labour was weaker or divided, residual or segmented systems developed.</w:t>
      </w:r>
    </w:p>
    <w:p w14:paraId="3A88B4C2" w14:textId="77777777" w:rsidR="004927EA" w:rsidRDefault="00000000">
      <w:pPr>
        <w:numPr>
          <w:ilvl w:val="0"/>
          <w:numId w:val="25"/>
        </w:numPr>
      </w:pPr>
      <w:r>
        <w:t>In middle-income contexts, look for programmatic parties competing for poor electorates, constitutional courts, and civil-society coalitions as alternative coalition-builders.</w:t>
      </w:r>
    </w:p>
    <w:p w14:paraId="298B3FE8" w14:textId="77777777" w:rsidR="004927EA" w:rsidRDefault="00000000">
      <w:r>
        <w:rPr>
          <w:b/>
          <w:bCs/>
        </w:rPr>
        <w:t>Pierson’s policy-feedback framework (Pierson 1993).</w:t>
      </w:r>
      <w:r>
        <w:t xml:space="preserve"> Ask how existing programmes shape the politics of subsequent reform attempts — feedback can entrench an arrangement or erode it.</w:t>
      </w:r>
    </w:p>
    <w:p w14:paraId="5E1F816B" w14:textId="77777777" w:rsidR="004927EA" w:rsidRDefault="00000000">
      <w:pPr>
        <w:numPr>
          <w:ilvl w:val="0"/>
          <w:numId w:val="26"/>
        </w:numPr>
      </w:pPr>
      <w:r>
        <w:t>Resource/incentive effects and interpretive/cognitive effects, across mass publics, interest groups, and government officials.</w:t>
      </w:r>
    </w:p>
    <w:p w14:paraId="79B4D36A" w14:textId="77777777" w:rsidR="004927EA" w:rsidRDefault="00000000">
      <w:pPr>
        <w:numPr>
          <w:ilvl w:val="0"/>
          <w:numId w:val="26"/>
        </w:numPr>
      </w:pPr>
      <w:r>
        <w:t>Universal programmes tend to build broad constituencies; means-tested programmes tend to build narrower, more exposed ones.</w:t>
      </w:r>
    </w:p>
    <w:p w14:paraId="291F78C7" w14:textId="77777777" w:rsidR="004927EA" w:rsidRDefault="00000000">
      <w:pPr>
        <w:numPr>
          <w:ilvl w:val="0"/>
          <w:numId w:val="26"/>
        </w:numPr>
      </w:pPr>
      <w:r>
        <w:t>Feedback can also work against an arrangement: drift, retrenchment-via-inflation, gradual conversion.</w:t>
      </w:r>
    </w:p>
    <w:p w14:paraId="37693A18" w14:textId="77777777" w:rsidR="004927EA" w:rsidRDefault="00000000">
      <w:pPr>
        <w:pStyle w:val="Heading3"/>
      </w:pPr>
      <w:bookmarkStart w:id="19" w:name="case-specifics-from-the-case-pack-2"/>
      <w:bookmarkEnd w:id="18"/>
      <w:r>
        <w:t>Case specifics (from the case pack)</w:t>
      </w:r>
    </w:p>
    <w:p w14:paraId="5AE66F5A" w14:textId="77777777" w:rsidR="004927EA" w:rsidRDefault="00000000">
      <w:r>
        <w:t>US healthcare for the working-age population runs substantially through employer-sponsored insurance, with separate public programmes for the elderly (Medicare, enacted 1965) and for low-income individuals (Medicaid, enacted 1965, jointly administered with states). Pension provision combines a universal-eligibility public programme (Social Security, 1935) with substantial private-sector occupational and tax-favoured individual retirement saving. Unemployment benefits are administered at state level, generally time-limited, and replace a modest share of prior earnings. When Social Security was created in 1935 it initially excluded agricultural and domestic workers — occupational categories disproportionately held by Black workers — from coverage, until amendments extended coverage in the 1950s.</w:t>
      </w:r>
    </w:p>
    <w:p w14:paraId="554AB838" w14:textId="77777777" w:rsidR="004927EA" w:rsidRDefault="00000000">
      <w:pPr>
        <w:pStyle w:val="BodyText"/>
      </w:pPr>
      <w:r>
        <w:rPr>
          <w:b/>
          <w:bCs/>
        </w:rPr>
        <w:t>Case: the agency’s data</w:t>
      </w:r>
    </w:p>
    <w:p w14:paraId="2E8A2518" w14:textId="77777777" w:rsidR="004927EA" w:rsidRDefault="00000000">
      <w:pPr>
        <w:numPr>
          <w:ilvl w:val="0"/>
          <w:numId w:val="27"/>
        </w:numPr>
      </w:pPr>
      <w:r>
        <w:t>Coalition and institutional context: Senate rules require 60 votes to end debate on most legislation (cloture); a coalition spanning northern and southern Democrats shaped New Deal-era legislation; no national labour or social-democratic party has held sustained federal power.</w:t>
      </w:r>
    </w:p>
    <w:p w14:paraId="04BDE104" w14:textId="77777777" w:rsidR="004927EA" w:rsidRDefault="00000000">
      <w:pPr>
        <w:numPr>
          <w:ilvl w:val="0"/>
          <w:numId w:val="27"/>
        </w:numPr>
      </w:pPr>
      <w:r>
        <w:t>Welfare-state institutions: Social Security (1935); Medicare (1965) and Medicaid (1965); state-administered unemployment insurance; the Affordable Care Act (2010, with implementation varying by state).</w:t>
      </w:r>
    </w:p>
    <w:p w14:paraId="036DFB06" w14:textId="77777777" w:rsidR="004927EA" w:rsidRDefault="00000000">
      <w:pPr>
        <w:numPr>
          <w:ilvl w:val="0"/>
          <w:numId w:val="27"/>
        </w:numPr>
      </w:pPr>
      <w:r>
        <w:lastRenderedPageBreak/>
        <w:t>Recent developments: sustained but unsuccessful Republican efforts to repeal the ACA after 2017; a temporary 2021 expansion of the child tax credit that was allowed to expire; continued state-level variation in Medicaid-expansion uptake.</w:t>
      </w:r>
    </w:p>
    <w:p w14:paraId="2D43BADF" w14:textId="77777777" w:rsidR="004927EA" w:rsidRDefault="00000000">
      <w:pPr>
        <w:pStyle w:val="Heading3"/>
      </w:pPr>
      <w:bookmarkStart w:id="20" w:name="Xabfd89b0020d7dd201e80d11d06c98b246a20ef"/>
      <w:bookmarkEnd w:id="19"/>
      <w:r>
        <w:t>Discussion questions from the case pack</w:t>
      </w:r>
    </w:p>
    <w:p w14:paraId="1A64BE80" w14:textId="77777777" w:rsidR="004927EA" w:rsidRDefault="00000000">
      <w:pPr>
        <w:numPr>
          <w:ilvl w:val="0"/>
          <w:numId w:val="28"/>
        </w:numPr>
      </w:pPr>
      <w:r>
        <w:t>Which Esping-Andersen world does the US welfare state most resemble overall — and are there specific programmes (Social Security, Medicare) that sit awkwardly within that classification? What would make a programme an “exception” rather than just a variant?</w:t>
      </w:r>
    </w:p>
    <w:p w14:paraId="25ED04E6" w14:textId="77777777" w:rsidR="004927EA" w:rsidRDefault="00000000">
      <w:pPr>
        <w:numPr>
          <w:ilvl w:val="0"/>
          <w:numId w:val="28"/>
        </w:numPr>
      </w:pPr>
      <w:r>
        <w:t>What coalition-level features — beyond “labour was weak” — help explain why the US did not develop UK- or Scandinavian-style universal programmes, particularly around the New Deal era?</w:t>
      </w:r>
    </w:p>
    <w:p w14:paraId="10E1C193" w14:textId="77777777" w:rsidR="004927EA" w:rsidRDefault="00000000">
      <w:pPr>
        <w:numPr>
          <w:ilvl w:val="0"/>
          <w:numId w:val="28"/>
        </w:numPr>
      </w:pPr>
      <w:r>
        <w:t>Why might Social Security and Medicare have proven more durable over time than means-tested programmes? Which Pierson feedback mechanism would you invoke, and why?</w:t>
      </w:r>
    </w:p>
    <w:p w14:paraId="3FCBEBF6" w14:textId="77777777" w:rsidR="004927EA" w:rsidRDefault="00000000">
      <w:pPr>
        <w:numPr>
          <w:ilvl w:val="0"/>
          <w:numId w:val="28"/>
        </w:numPr>
      </w:pPr>
      <w:r>
        <w:t>Compare with your paired UK group: both countries are typically placed in the same Esping-Andersen world. What single institutional feature would you point to as the sharpest empirical divergence between them, and what does that divergence suggest about the limits of a three-category typology?</w:t>
      </w:r>
    </w:p>
    <w:p w14:paraId="0D2801C1" w14:textId="77777777" w:rsidR="004927EA" w:rsidRDefault="00000000">
      <w:r>
        <w:br w:type="page"/>
      </w:r>
    </w:p>
    <w:p w14:paraId="52D8043B" w14:textId="77777777" w:rsidR="004927EA" w:rsidRDefault="00000000">
      <w:pPr>
        <w:pStyle w:val="Heading1"/>
      </w:pPr>
      <w:bookmarkStart w:id="21" w:name="classifying-a-welfare-state-worksheet-3"/>
      <w:bookmarkEnd w:id="14"/>
      <w:bookmarkEnd w:id="15"/>
      <w:bookmarkEnd w:id="20"/>
      <w:r>
        <w:lastRenderedPageBreak/>
        <w:t>Classifying a Welfare State — Worksheet</w:t>
      </w:r>
    </w:p>
    <w:p w14:paraId="44273156" w14:textId="74FC8BBC" w:rsidR="004927EA" w:rsidRDefault="00000000">
      <w:pPr>
        <w:pStyle w:val="Heading2"/>
      </w:pPr>
      <w:bookmarkStart w:id="22" w:name="Xaef4769d90bdf8d80ea376ab977393159b63413"/>
      <w:r>
        <w:t xml:space="preserve">United Kingdom </w:t>
      </w:r>
    </w:p>
    <w:p w14:paraId="2E9C8B48" w14:textId="77777777" w:rsidR="004927EA" w:rsidRDefault="00000000">
      <w:r>
        <w:rPr>
          <w:i/>
          <w:iCs/>
        </w:rPr>
        <w:t>IR227 Seminar 6 — Group worksheet</w:t>
      </w:r>
    </w:p>
    <w:p w14:paraId="4698173B" w14:textId="77777777" w:rsidR="004927EA" w:rsidRDefault="00000000">
      <w:pPr>
        <w:pStyle w:val="Heading3"/>
      </w:pPr>
      <w:bookmarkStart w:id="23" w:name="task-3"/>
      <w:r>
        <w:t>Task</w:t>
      </w:r>
    </w:p>
    <w:p w14:paraId="53C0169D" w14:textId="77777777" w:rsidR="004927EA" w:rsidRDefault="00000000">
      <w:r>
        <w:t>Take your assigned country’s welfare-state arrangements and produce a short diagnostic memo: classify the welfare regime, name the coalition that built it, and assess whether policy feedback has made it durable or is eroding it.</w:t>
      </w:r>
    </w:p>
    <w:p w14:paraId="0B305942" w14:textId="77777777" w:rsidR="004927EA" w:rsidRDefault="00000000">
      <w:pPr>
        <w:pStyle w:val="BodyText"/>
      </w:pPr>
      <w:r>
        <w:t>The analytical tools you will deploy are: Esping-Andersen’s three-worlds typology, power-resources theory, and Pierson’s policy-feedback framework.</w:t>
      </w:r>
    </w:p>
    <w:p w14:paraId="58DCF2BF" w14:textId="77777777" w:rsidR="004927EA" w:rsidRDefault="00000000">
      <w:pPr>
        <w:pStyle w:val="Heading3"/>
      </w:pPr>
      <w:bookmarkStart w:id="24" w:name="requirements-3"/>
      <w:bookmarkEnd w:id="23"/>
      <w:r>
        <w:t>Requirements</w:t>
      </w:r>
    </w:p>
    <w:p w14:paraId="2F5964F3" w14:textId="77777777" w:rsidR="004927EA" w:rsidRDefault="00000000">
      <w:pPr>
        <w:numPr>
          <w:ilvl w:val="0"/>
          <w:numId w:val="29"/>
        </w:numPr>
      </w:pPr>
      <w:r>
        <w:t>classify the country’s welfare-state arrangement using Esping-Andersen’s typology, and say explicitly where the classification fits and where it doesn’t,</w:t>
      </w:r>
    </w:p>
    <w:p w14:paraId="138296C5" w14:textId="77777777" w:rsidR="004927EA" w:rsidRDefault="00000000">
      <w:pPr>
        <w:numPr>
          <w:ilvl w:val="0"/>
          <w:numId w:val="29"/>
        </w:numPr>
      </w:pPr>
      <w:r>
        <w:t>name the political coalition(s) that produced the configuration, in power-resources terms,</w:t>
      </w:r>
    </w:p>
    <w:p w14:paraId="13DECAE7" w14:textId="77777777" w:rsidR="004927EA" w:rsidRDefault="00000000">
      <w:pPr>
        <w:numPr>
          <w:ilvl w:val="0"/>
          <w:numId w:val="29"/>
        </w:numPr>
      </w:pPr>
      <w:r>
        <w:t>analyse the policy-feedback dynamics that have made (or unmade) the arrangement durable, and</w:t>
      </w:r>
    </w:p>
    <w:p w14:paraId="651AB065" w14:textId="77777777" w:rsidR="004927EA" w:rsidRDefault="00000000">
      <w:pPr>
        <w:numPr>
          <w:ilvl w:val="0"/>
          <w:numId w:val="29"/>
        </w:numPr>
      </w:pPr>
      <w:r>
        <w:t>close with a portability reflection: which elements of the framework apply to your case, and which require adaptation.</w:t>
      </w:r>
    </w:p>
    <w:p w14:paraId="4BEE0089" w14:textId="77777777" w:rsidR="004927EA" w:rsidRDefault="00000000">
      <w:r>
        <w:t>Note: these cases are deliberately under-determined. There is no single correct verdict — you will be assessed on the strength of the reasoning chain (classification → coalition → feedback → portability reflection), not on which verdict you reach.</w:t>
      </w:r>
    </w:p>
    <w:p w14:paraId="04976C8D" w14:textId="77777777" w:rsidR="004927EA" w:rsidRDefault="00000000">
      <w:pPr>
        <w:pStyle w:val="Heading3"/>
      </w:pPr>
      <w:bookmarkStart w:id="25" w:name="tool-summary-3"/>
      <w:bookmarkEnd w:id="24"/>
      <w:r>
        <w:t>Tool summary</w:t>
      </w:r>
    </w:p>
    <w:p w14:paraId="402C1C76" w14:textId="77777777" w:rsidR="004927EA" w:rsidRDefault="00000000">
      <w:r>
        <w:rPr>
          <w:b/>
          <w:bCs/>
        </w:rPr>
        <w:t>Esping-Andersen’s three worlds (Esping-Andersen 1990).</w:t>
      </w:r>
      <w:r>
        <w:t xml:space="preserve"> Ask which world a country’s welfare-state design most resembles, using decommodification — the degree to which a person can maintain a livelihood without relying on the market — as the key measure.</w:t>
      </w:r>
    </w:p>
    <w:p w14:paraId="774CC064" w14:textId="77777777" w:rsidR="004927EA" w:rsidRDefault="00000000">
      <w:pPr>
        <w:numPr>
          <w:ilvl w:val="0"/>
          <w:numId w:val="30"/>
        </w:numPr>
      </w:pPr>
      <w:r>
        <w:t>Liberal — market-residual; means-tested benefits dominate; modest decommodification.</w:t>
      </w:r>
    </w:p>
    <w:p w14:paraId="567DC140" w14:textId="77777777" w:rsidR="004927EA" w:rsidRDefault="00000000">
      <w:pPr>
        <w:numPr>
          <w:ilvl w:val="0"/>
          <w:numId w:val="30"/>
        </w:numPr>
      </w:pPr>
      <w:r>
        <w:t>Conservative-corporatist — status-preserving; benefits tied to labour-market/occupational participation; strong family role.</w:t>
      </w:r>
    </w:p>
    <w:p w14:paraId="316B9715" w14:textId="77777777" w:rsidR="004927EA" w:rsidRDefault="00000000">
      <w:pPr>
        <w:numPr>
          <w:ilvl w:val="0"/>
          <w:numId w:val="30"/>
        </w:numPr>
      </w:pPr>
      <w:r>
        <w:t>Social-democratic — universalist; state provision; high decommodification; defamilialised (the state, not the family, absorbs care work).</w:t>
      </w:r>
    </w:p>
    <w:p w14:paraId="078FCA83" w14:textId="77777777" w:rsidR="004927EA" w:rsidRDefault="00000000">
      <w:r>
        <w:rPr>
          <w:b/>
          <w:bCs/>
        </w:rPr>
        <w:t>Power-resources theory (Huber and Stephens 2001).</w:t>
      </w:r>
      <w:r>
        <w:t xml:space="preserve"> Ask which political coalition built and sustains the arrangement — this is broader than labour-union strength alone.</w:t>
      </w:r>
    </w:p>
    <w:p w14:paraId="3258BAD0" w14:textId="77777777" w:rsidR="004927EA" w:rsidRDefault="00000000">
      <w:pPr>
        <w:numPr>
          <w:ilvl w:val="0"/>
          <w:numId w:val="31"/>
        </w:numPr>
      </w:pPr>
      <w:r>
        <w:lastRenderedPageBreak/>
        <w:t>Where labour was strong and could ally with middle-class farmers or white-collar workers, comprehensive welfare states emerged.</w:t>
      </w:r>
    </w:p>
    <w:p w14:paraId="11039262" w14:textId="77777777" w:rsidR="004927EA" w:rsidRDefault="00000000">
      <w:pPr>
        <w:numPr>
          <w:ilvl w:val="0"/>
          <w:numId w:val="31"/>
        </w:numPr>
      </w:pPr>
      <w:r>
        <w:t>Where labour was weaker or divided, residual or segmented systems developed.</w:t>
      </w:r>
    </w:p>
    <w:p w14:paraId="511384C1" w14:textId="77777777" w:rsidR="004927EA" w:rsidRDefault="00000000">
      <w:pPr>
        <w:numPr>
          <w:ilvl w:val="0"/>
          <w:numId w:val="31"/>
        </w:numPr>
      </w:pPr>
      <w:r>
        <w:t>In middle-income contexts, look for programmatic parties competing for poor electorates, constitutional courts, and civil-society coalitions as alternative coalition-builders.</w:t>
      </w:r>
    </w:p>
    <w:p w14:paraId="74D8C111" w14:textId="77777777" w:rsidR="004927EA" w:rsidRDefault="00000000">
      <w:r>
        <w:rPr>
          <w:b/>
          <w:bCs/>
        </w:rPr>
        <w:t>Pierson’s policy-feedback framework (Pierson 1993).</w:t>
      </w:r>
      <w:r>
        <w:t xml:space="preserve"> Ask how existing programmes shape the politics of subsequent reform attempts — feedback can entrench an arrangement or erode it.</w:t>
      </w:r>
    </w:p>
    <w:p w14:paraId="3A73AB07" w14:textId="77777777" w:rsidR="004927EA" w:rsidRDefault="00000000">
      <w:pPr>
        <w:numPr>
          <w:ilvl w:val="0"/>
          <w:numId w:val="32"/>
        </w:numPr>
      </w:pPr>
      <w:r>
        <w:t>Resource/incentive effects and interpretive/cognitive effects, across mass publics, interest groups, and government officials.</w:t>
      </w:r>
    </w:p>
    <w:p w14:paraId="0274FD25" w14:textId="77777777" w:rsidR="004927EA" w:rsidRDefault="00000000">
      <w:pPr>
        <w:numPr>
          <w:ilvl w:val="0"/>
          <w:numId w:val="32"/>
        </w:numPr>
      </w:pPr>
      <w:r>
        <w:t>Universal programmes tend to build broad constituencies; means-tested programmes tend to build narrower, more exposed ones.</w:t>
      </w:r>
    </w:p>
    <w:p w14:paraId="5D20207F" w14:textId="77777777" w:rsidR="004927EA" w:rsidRDefault="00000000">
      <w:pPr>
        <w:numPr>
          <w:ilvl w:val="0"/>
          <w:numId w:val="32"/>
        </w:numPr>
      </w:pPr>
      <w:r>
        <w:t>Feedback can also work against an arrangement: drift, retrenchment-via-inflation, gradual conversion.</w:t>
      </w:r>
    </w:p>
    <w:p w14:paraId="348BA0D9" w14:textId="77777777" w:rsidR="004927EA" w:rsidRDefault="00000000">
      <w:pPr>
        <w:pStyle w:val="Heading3"/>
      </w:pPr>
      <w:bookmarkStart w:id="26" w:name="case-specifics-from-the-case-pack-3"/>
      <w:bookmarkEnd w:id="25"/>
      <w:r>
        <w:t>Case specifics (from the case pack)</w:t>
      </w:r>
    </w:p>
    <w:p w14:paraId="6BA68736" w14:textId="77777777" w:rsidR="004927EA" w:rsidRDefault="00000000">
      <w:r>
        <w:t>UK healthcare is delivered through a single national institution (the National Health Service, established 1948), financed from general taxation and free at the point of use for residents. UK pensions consist of a state pension — a basic component plus an earnings-related component, restructured multiple times — that is comparatively modest by international standards, plus private and occupational provision. Unemployment and working-age benefits have been progressively consolidated into a single means-tested payment (Universal Credit, rolled out from 2013). Child benefit was paid universally to all families with children until 2013, when it began to be withdrawn above a specified household-income threshold.</w:t>
      </w:r>
    </w:p>
    <w:p w14:paraId="6E9E0F69" w14:textId="77777777" w:rsidR="004927EA" w:rsidRDefault="00000000">
      <w:pPr>
        <w:pStyle w:val="BodyText"/>
      </w:pPr>
      <w:r>
        <w:rPr>
          <w:b/>
          <w:bCs/>
        </w:rPr>
        <w:t>Case: the agency’s data</w:t>
      </w:r>
    </w:p>
    <w:p w14:paraId="40C22575" w14:textId="77777777" w:rsidR="004927EA" w:rsidRDefault="00000000">
      <w:pPr>
        <w:numPr>
          <w:ilvl w:val="0"/>
          <w:numId w:val="33"/>
        </w:numPr>
      </w:pPr>
      <w:r>
        <w:t>Coalition and institutional history: the 1942 Beveridge Report and the post-1945 Labour government established the postwar welfare architecture; subsequent Conservative governments largely maintained this architecture until the 1980s; a 2010 coalition government introduced a sustained austerity programme affecting most working-age benefits.</w:t>
      </w:r>
    </w:p>
    <w:p w14:paraId="7323CC26" w14:textId="77777777" w:rsidR="004927EA" w:rsidRDefault="00000000">
      <w:pPr>
        <w:numPr>
          <w:ilvl w:val="0"/>
          <w:numId w:val="33"/>
        </w:numPr>
      </w:pPr>
      <w:r>
        <w:t>Welfare-state institutions: the NHS (1948); the state pension; Universal Credit (from 2013); child benefit (universal until 2013, then means-tested above £50,000 household income).</w:t>
      </w:r>
    </w:p>
    <w:p w14:paraId="3F5BB50E" w14:textId="77777777" w:rsidR="004927EA" w:rsidRDefault="00000000">
      <w:pPr>
        <w:numPr>
          <w:ilvl w:val="0"/>
          <w:numId w:val="33"/>
        </w:numPr>
      </w:pPr>
      <w:r>
        <w:lastRenderedPageBreak/>
        <w:t>Recent developments: post-2010 austerity in non-NHS programmes; recurring NHS funding debates; continuity and divergence in social policy since Brexit; a Labour government from 2024.</w:t>
      </w:r>
    </w:p>
    <w:p w14:paraId="3C3DBF9D" w14:textId="77777777" w:rsidR="004927EA" w:rsidRDefault="00000000">
      <w:pPr>
        <w:pStyle w:val="Heading3"/>
      </w:pPr>
      <w:bookmarkStart w:id="27" w:name="X3132ccfbd4a825aee823f86eb155173dcf9a708"/>
      <w:bookmarkEnd w:id="26"/>
      <w:r>
        <w:t>Discussion questions from the case pack</w:t>
      </w:r>
    </w:p>
    <w:p w14:paraId="27ECC899" w14:textId="77777777" w:rsidR="004927EA" w:rsidRDefault="00000000">
      <w:pPr>
        <w:numPr>
          <w:ilvl w:val="0"/>
          <w:numId w:val="34"/>
        </w:numPr>
      </w:pPr>
      <w:r>
        <w:t>Which Esping-Andersen world does the UK welfare state most resemble overall? Does the NHS sit comfortably within that classification, or does it look like something else? What test would you use to decide?</w:t>
      </w:r>
    </w:p>
    <w:p w14:paraId="41D851E6" w14:textId="77777777" w:rsidR="004927EA" w:rsidRDefault="00000000">
      <w:pPr>
        <w:numPr>
          <w:ilvl w:val="0"/>
          <w:numId w:val="34"/>
        </w:numPr>
      </w:pPr>
      <w:r>
        <w:t>What coalition-level history might explain why the NHS exists as a universal, tax-funded institution, when most other UK working-age benefits are means-tested?</w:t>
      </w:r>
    </w:p>
    <w:p w14:paraId="22CAC6DD" w14:textId="77777777" w:rsidR="004927EA" w:rsidRDefault="00000000">
      <w:pPr>
        <w:numPr>
          <w:ilvl w:val="0"/>
          <w:numId w:val="34"/>
        </w:numPr>
      </w:pPr>
      <w:r>
        <w:t>Compare with your paired US group: both countries are typically classed in the same Esping-Andersen world, yet healthcare provision looks very different in the two. What does that comparison suggest the typology’s category labels do and don’t capture?</w:t>
      </w:r>
    </w:p>
    <w:p w14:paraId="583BCBC0" w14:textId="77777777" w:rsidR="004927EA" w:rsidRDefault="00000000">
      <w:pPr>
        <w:numPr>
          <w:ilvl w:val="0"/>
          <w:numId w:val="34"/>
        </w:numPr>
      </w:pPr>
      <w:r>
        <w:t>Which Pierson feedback mechanisms might explain the NHS’s durability compared with the repeated erosion of pensions, unemployment benefits, and (after 2013) universal child benefit?</w:t>
      </w:r>
    </w:p>
    <w:p w14:paraId="090458D3" w14:textId="77777777" w:rsidR="004927EA" w:rsidRDefault="00000000">
      <w:r>
        <w:br w:type="page"/>
      </w:r>
    </w:p>
    <w:p w14:paraId="06D0427D" w14:textId="77777777" w:rsidR="004927EA" w:rsidRDefault="00000000">
      <w:pPr>
        <w:pStyle w:val="Heading1"/>
      </w:pPr>
      <w:bookmarkStart w:id="28" w:name="classifying-a-welfare-state-worksheet-4"/>
      <w:bookmarkEnd w:id="21"/>
      <w:bookmarkEnd w:id="22"/>
      <w:bookmarkEnd w:id="27"/>
      <w:r>
        <w:lastRenderedPageBreak/>
        <w:t>Classifying a Welfare State — Worksheet</w:t>
      </w:r>
    </w:p>
    <w:p w14:paraId="7E9372D9" w14:textId="0C250B60" w:rsidR="004927EA" w:rsidRDefault="00000000">
      <w:pPr>
        <w:pStyle w:val="Heading2"/>
      </w:pPr>
      <w:bookmarkStart w:id="29" w:name="X62507347cace5cdb2a891889069c63ecbaf3c80"/>
      <w:r>
        <w:t xml:space="preserve">Brazil </w:t>
      </w:r>
    </w:p>
    <w:p w14:paraId="79A9ECEF" w14:textId="77777777" w:rsidR="004927EA" w:rsidRDefault="00000000">
      <w:r>
        <w:rPr>
          <w:i/>
          <w:iCs/>
        </w:rPr>
        <w:t>IR227 Seminar 6 — Group worksheet</w:t>
      </w:r>
    </w:p>
    <w:p w14:paraId="06F381A4" w14:textId="77777777" w:rsidR="004927EA" w:rsidRDefault="00000000">
      <w:pPr>
        <w:pStyle w:val="Heading3"/>
      </w:pPr>
      <w:bookmarkStart w:id="30" w:name="task-4"/>
      <w:r>
        <w:t>Task</w:t>
      </w:r>
    </w:p>
    <w:p w14:paraId="46C12AF2" w14:textId="77777777" w:rsidR="004927EA" w:rsidRDefault="00000000">
      <w:r>
        <w:t>Take your assigned country’s welfare-state arrangements and produce a short diagnostic memo: classify the welfare regime, name the coalition that built it, and assess whether policy feedback has made it durable or is eroding it.</w:t>
      </w:r>
    </w:p>
    <w:p w14:paraId="7B9972DB" w14:textId="77777777" w:rsidR="004927EA" w:rsidRDefault="00000000">
      <w:pPr>
        <w:pStyle w:val="BodyText"/>
      </w:pPr>
      <w:r>
        <w:t>The analytical tools you will deploy are: Esping-Andersen’s three-worlds typology, power-resources theory, and Pierson’s policy-feedback framework.</w:t>
      </w:r>
    </w:p>
    <w:p w14:paraId="48D83FCF" w14:textId="77777777" w:rsidR="004927EA" w:rsidRDefault="00000000">
      <w:pPr>
        <w:pStyle w:val="Heading3"/>
      </w:pPr>
      <w:bookmarkStart w:id="31" w:name="requirements-4"/>
      <w:bookmarkEnd w:id="30"/>
      <w:r>
        <w:t>Requirements</w:t>
      </w:r>
    </w:p>
    <w:p w14:paraId="2B14B29B" w14:textId="77777777" w:rsidR="004927EA" w:rsidRDefault="00000000">
      <w:pPr>
        <w:numPr>
          <w:ilvl w:val="0"/>
          <w:numId w:val="35"/>
        </w:numPr>
      </w:pPr>
      <w:r>
        <w:t>classify the country’s welfare-state arrangement using Esping-Andersen’s typology, and say explicitly where the classification fits and where it doesn’t,</w:t>
      </w:r>
    </w:p>
    <w:p w14:paraId="5414A5F2" w14:textId="77777777" w:rsidR="004927EA" w:rsidRDefault="00000000">
      <w:pPr>
        <w:numPr>
          <w:ilvl w:val="0"/>
          <w:numId w:val="35"/>
        </w:numPr>
      </w:pPr>
      <w:r>
        <w:t>name the political coalition(s) that produced the configuration, in power-resources terms,</w:t>
      </w:r>
    </w:p>
    <w:p w14:paraId="372F1340" w14:textId="77777777" w:rsidR="004927EA" w:rsidRDefault="00000000">
      <w:pPr>
        <w:numPr>
          <w:ilvl w:val="0"/>
          <w:numId w:val="35"/>
        </w:numPr>
      </w:pPr>
      <w:r>
        <w:t>analyse the policy-feedback dynamics that have made (or unmade) the arrangement durable, and</w:t>
      </w:r>
    </w:p>
    <w:p w14:paraId="24024C07" w14:textId="77777777" w:rsidR="004927EA" w:rsidRDefault="00000000">
      <w:pPr>
        <w:numPr>
          <w:ilvl w:val="0"/>
          <w:numId w:val="35"/>
        </w:numPr>
      </w:pPr>
      <w:r>
        <w:t>close with a portability reflection: which elements of the framework apply to your case, and which require adaptation.</w:t>
      </w:r>
    </w:p>
    <w:p w14:paraId="072B70DA" w14:textId="77777777" w:rsidR="004927EA" w:rsidRDefault="00000000">
      <w:r>
        <w:t>Note: these cases are deliberately under-determined. There is no single correct verdict — you will be assessed on the strength of the reasoning chain (classification → coalition → feedback → portability reflection), not on which verdict you reach.</w:t>
      </w:r>
    </w:p>
    <w:p w14:paraId="2895198A" w14:textId="77777777" w:rsidR="004927EA" w:rsidRDefault="00000000">
      <w:pPr>
        <w:pStyle w:val="Heading3"/>
      </w:pPr>
      <w:bookmarkStart w:id="32" w:name="tool-summary-4"/>
      <w:bookmarkEnd w:id="31"/>
      <w:r>
        <w:t>Tool summary</w:t>
      </w:r>
    </w:p>
    <w:p w14:paraId="7B017B67" w14:textId="77777777" w:rsidR="004927EA" w:rsidRDefault="00000000">
      <w:r>
        <w:rPr>
          <w:b/>
          <w:bCs/>
        </w:rPr>
        <w:t>Esping-Andersen’s three worlds (Esping-Andersen 1990).</w:t>
      </w:r>
      <w:r>
        <w:t xml:space="preserve"> Ask which world a country’s welfare-state design most resembles, using decommodification — the degree to which a person can maintain a livelihood without relying on the market — as the key measure.</w:t>
      </w:r>
    </w:p>
    <w:p w14:paraId="02E80812" w14:textId="77777777" w:rsidR="004927EA" w:rsidRDefault="00000000">
      <w:pPr>
        <w:numPr>
          <w:ilvl w:val="0"/>
          <w:numId w:val="36"/>
        </w:numPr>
      </w:pPr>
      <w:r>
        <w:t>Liberal — market-residual; means-tested benefits dominate; modest decommodification.</w:t>
      </w:r>
    </w:p>
    <w:p w14:paraId="1A8A5283" w14:textId="77777777" w:rsidR="004927EA" w:rsidRDefault="00000000">
      <w:pPr>
        <w:numPr>
          <w:ilvl w:val="0"/>
          <w:numId w:val="36"/>
        </w:numPr>
      </w:pPr>
      <w:r>
        <w:t>Conservative-corporatist — status-preserving; benefits tied to labour-market/occupational participation; strong family role.</w:t>
      </w:r>
    </w:p>
    <w:p w14:paraId="478C395E" w14:textId="77777777" w:rsidR="004927EA" w:rsidRDefault="00000000">
      <w:pPr>
        <w:numPr>
          <w:ilvl w:val="0"/>
          <w:numId w:val="36"/>
        </w:numPr>
      </w:pPr>
      <w:r>
        <w:t>Social-democratic — universalist; state provision; high decommodification; defamilialised (the state, not the family, absorbs care work).</w:t>
      </w:r>
    </w:p>
    <w:p w14:paraId="6981AA74" w14:textId="77777777" w:rsidR="004927EA" w:rsidRDefault="00000000">
      <w:r>
        <w:rPr>
          <w:b/>
          <w:bCs/>
        </w:rPr>
        <w:t>Power-resources theory (Huber and Stephens 2001).</w:t>
      </w:r>
      <w:r>
        <w:t xml:space="preserve"> Ask which political coalition built and sustains the arrangement — this is broader than labour-union strength alone.</w:t>
      </w:r>
    </w:p>
    <w:p w14:paraId="2E752625" w14:textId="77777777" w:rsidR="004927EA" w:rsidRDefault="00000000">
      <w:pPr>
        <w:numPr>
          <w:ilvl w:val="0"/>
          <w:numId w:val="37"/>
        </w:numPr>
      </w:pPr>
      <w:r>
        <w:lastRenderedPageBreak/>
        <w:t>Where labour was strong and could ally with middle-class farmers or white-collar workers, comprehensive welfare states emerged.</w:t>
      </w:r>
    </w:p>
    <w:p w14:paraId="5F451289" w14:textId="77777777" w:rsidR="004927EA" w:rsidRDefault="00000000">
      <w:pPr>
        <w:numPr>
          <w:ilvl w:val="0"/>
          <w:numId w:val="37"/>
        </w:numPr>
      </w:pPr>
      <w:r>
        <w:t>Where labour was weaker or divided, residual or segmented systems developed.</w:t>
      </w:r>
    </w:p>
    <w:p w14:paraId="77E4FB57" w14:textId="77777777" w:rsidR="004927EA" w:rsidRDefault="00000000">
      <w:pPr>
        <w:numPr>
          <w:ilvl w:val="0"/>
          <w:numId w:val="37"/>
        </w:numPr>
      </w:pPr>
      <w:r>
        <w:t>In middle-income contexts, look for programmatic parties competing for poor electorates, constitutional courts, and civil-society coalitions as alternative coalition-builders.</w:t>
      </w:r>
    </w:p>
    <w:p w14:paraId="268B3630" w14:textId="77777777" w:rsidR="004927EA" w:rsidRDefault="00000000">
      <w:r>
        <w:rPr>
          <w:b/>
          <w:bCs/>
        </w:rPr>
        <w:t>Pierson’s policy-feedback framework (Pierson 1993).</w:t>
      </w:r>
      <w:r>
        <w:t xml:space="preserve"> Ask how existing programmes shape the politics of subsequent reform attempts — feedback can entrench an arrangement or erode it.</w:t>
      </w:r>
    </w:p>
    <w:p w14:paraId="45AA9366" w14:textId="77777777" w:rsidR="004927EA" w:rsidRDefault="00000000">
      <w:pPr>
        <w:numPr>
          <w:ilvl w:val="0"/>
          <w:numId w:val="38"/>
        </w:numPr>
      </w:pPr>
      <w:r>
        <w:t>Resource/incentive effects and interpretive/cognitive effects, across mass publics, interest groups, and government officials.</w:t>
      </w:r>
    </w:p>
    <w:p w14:paraId="3BE5803B" w14:textId="77777777" w:rsidR="004927EA" w:rsidRDefault="00000000">
      <w:pPr>
        <w:numPr>
          <w:ilvl w:val="0"/>
          <w:numId w:val="38"/>
        </w:numPr>
      </w:pPr>
      <w:r>
        <w:t>Universal programmes tend to build broad constituencies; means-tested programmes tend to build narrower, more exposed ones.</w:t>
      </w:r>
    </w:p>
    <w:p w14:paraId="6E75188B" w14:textId="77777777" w:rsidR="004927EA" w:rsidRDefault="00000000">
      <w:pPr>
        <w:numPr>
          <w:ilvl w:val="0"/>
          <w:numId w:val="38"/>
        </w:numPr>
      </w:pPr>
      <w:r>
        <w:t>Feedback can also work against an arrangement: drift, retrenchment-via-inflation, gradual conversion.</w:t>
      </w:r>
    </w:p>
    <w:p w14:paraId="1D3B86C8" w14:textId="77777777" w:rsidR="004927EA" w:rsidRDefault="00000000">
      <w:pPr>
        <w:pStyle w:val="Heading3"/>
      </w:pPr>
      <w:bookmarkStart w:id="33" w:name="case-specifics-from-the-case-pack-4"/>
      <w:bookmarkEnd w:id="32"/>
      <w:r>
        <w:t>Case specifics (from the case pack)</w:t>
      </w:r>
    </w:p>
    <w:p w14:paraId="0FAE6AEB" w14:textId="04322564" w:rsidR="004927EA" w:rsidRDefault="00000000">
      <w:r>
        <w:t>Brazil’s pension system covers formal-sector workers through contribution-based statutory and complementary schemes, with substantially weaker coverage for informal-sector workers. Healthcare (Sistema Único de Saúde, SUS, established 1988) is designed to provide universal access, financed from general taxation. Bolsa Família, a conditional cash-transfer programme launched in 2003, provides payments to low-income families conditional on health and education requirements, reaching a peak enrolment of roughly 14 million families and fluctuating since. Welfare entitlements more broadly are anchored in the 1988 federal constitution, which established certain social rights as legally justiciable claims.</w:t>
      </w:r>
    </w:p>
    <w:p w14:paraId="31487F0E" w14:textId="77777777" w:rsidR="004927EA" w:rsidRDefault="00000000">
      <w:pPr>
        <w:pStyle w:val="BodyText"/>
      </w:pPr>
      <w:r>
        <w:rPr>
          <w:b/>
          <w:bCs/>
        </w:rPr>
        <w:t>Case: the agency’s data</w:t>
      </w:r>
    </w:p>
    <w:p w14:paraId="453F1314" w14:textId="77777777" w:rsidR="004927EA" w:rsidRDefault="00000000">
      <w:pPr>
        <w:numPr>
          <w:ilvl w:val="0"/>
          <w:numId w:val="39"/>
        </w:numPr>
      </w:pPr>
      <w:r>
        <w:t>Coalition and institutional history: Brazil’s 1985 return to democratic government and 1988 constitution opened space for welfare-state expansion; Workers’ Party (PT) governments held office 2003–2016 and expanded welfare programmes; a subsequent government (2019–2022) attempted retrenchment with limited success; a further PT-led government took office from 2023.</w:t>
      </w:r>
    </w:p>
    <w:p w14:paraId="1FCBBBB0" w14:textId="77777777" w:rsidR="004927EA" w:rsidRDefault="00000000">
      <w:pPr>
        <w:numPr>
          <w:ilvl w:val="0"/>
          <w:numId w:val="39"/>
        </w:numPr>
      </w:pPr>
      <w:r>
        <w:t>Welfare-state institutions: SUS (1988); a statutory-plus-complementary pension system; Bolsa Família (2003; briefly renamed Auxílio Brasil in 2021, reverting to Bolsa Família in 2023).</w:t>
      </w:r>
    </w:p>
    <w:p w14:paraId="65EC051C" w14:textId="77777777" w:rsidR="004927EA" w:rsidRDefault="00000000">
      <w:pPr>
        <w:numPr>
          <w:ilvl w:val="0"/>
          <w:numId w:val="39"/>
        </w:numPr>
      </w:pPr>
      <w:r>
        <w:t>Recent developments: fiscal-rule constraints 2016–2022; sustained fiscal pressure alongside programme restoration from 2023.</w:t>
      </w:r>
    </w:p>
    <w:p w14:paraId="2A8CE987" w14:textId="77777777" w:rsidR="004927EA" w:rsidRDefault="00000000">
      <w:pPr>
        <w:pStyle w:val="Heading3"/>
      </w:pPr>
      <w:bookmarkStart w:id="34" w:name="X387aa0d96432d7cba40b082af2f4743f5cc1d68"/>
      <w:bookmarkEnd w:id="33"/>
      <w:r>
        <w:lastRenderedPageBreak/>
        <w:t>Discussion questions from the case pack</w:t>
      </w:r>
    </w:p>
    <w:p w14:paraId="7AE79829" w14:textId="77777777" w:rsidR="004927EA" w:rsidRDefault="00000000">
      <w:pPr>
        <w:numPr>
          <w:ilvl w:val="0"/>
          <w:numId w:val="40"/>
        </w:numPr>
      </w:pPr>
      <w:r>
        <w:t>Does Brazil’s welfare-state architecture fit cleanly into one of Esping-Andersen’s three worlds, or does it combine features associated with more than one? Which specific programme would you point to for each feature you identify?</w:t>
      </w:r>
    </w:p>
    <w:p w14:paraId="21C55EF9" w14:textId="77777777" w:rsidR="004927EA" w:rsidRDefault="00000000">
      <w:pPr>
        <w:numPr>
          <w:ilvl w:val="0"/>
          <w:numId w:val="40"/>
        </w:numPr>
      </w:pPr>
      <w:r>
        <w:t>What role does the 1988 constitution’s justiciability of social rights play that isn’t captured directly by Esping-Andersen’s original framework?</w:t>
      </w:r>
    </w:p>
    <w:p w14:paraId="2BD93686" w14:textId="77777777" w:rsidR="004927EA" w:rsidRDefault="00000000">
      <w:pPr>
        <w:numPr>
          <w:ilvl w:val="0"/>
          <w:numId w:val="40"/>
        </w:numPr>
      </w:pPr>
      <w:r>
        <w:t>What coalition, in power-resources terms, has built and sustained Brazil’s welfare expansion since the 1980s? Is it comparable to any OECD case, or does it require a different vocabulary?</w:t>
      </w:r>
    </w:p>
    <w:p w14:paraId="470D71C5" w14:textId="77777777" w:rsidR="004927EA" w:rsidRDefault="00000000">
      <w:pPr>
        <w:numPr>
          <w:ilvl w:val="0"/>
          <w:numId w:val="40"/>
        </w:numPr>
      </w:pPr>
      <w:r>
        <w:t>How does the formal-sector/informal-sector split complicate a straightforward decommodification analysis?</w:t>
      </w:r>
    </w:p>
    <w:p w14:paraId="69D26A28" w14:textId="77777777" w:rsidR="004927EA" w:rsidRDefault="00000000">
      <w:pPr>
        <w:numPr>
          <w:ilvl w:val="0"/>
          <w:numId w:val="40"/>
        </w:numPr>
      </w:pPr>
      <w:r>
        <w:t>Portability reflection: which element of Esping-Andersen’s framework — the specific category labels, or the underlying analytical move (decommodification plus coalitional explanation) — travels most easily to Brazil, and which travels least easily?</w:t>
      </w:r>
    </w:p>
    <w:p w14:paraId="483F6755" w14:textId="77777777" w:rsidR="004927EA" w:rsidRDefault="00000000">
      <w:r>
        <w:br w:type="page"/>
      </w:r>
    </w:p>
    <w:p w14:paraId="436C09CF" w14:textId="77777777" w:rsidR="004927EA" w:rsidRDefault="00000000">
      <w:pPr>
        <w:pStyle w:val="Heading1"/>
      </w:pPr>
      <w:bookmarkStart w:id="35" w:name="classifying-a-welfare-state-worksheet-5"/>
      <w:bookmarkEnd w:id="28"/>
      <w:bookmarkEnd w:id="29"/>
      <w:bookmarkEnd w:id="34"/>
      <w:r>
        <w:lastRenderedPageBreak/>
        <w:t>Classifying a Welfare State — Worksheet</w:t>
      </w:r>
    </w:p>
    <w:p w14:paraId="22C1338D" w14:textId="7B720D42" w:rsidR="004927EA" w:rsidRDefault="00000000">
      <w:pPr>
        <w:pStyle w:val="Heading2"/>
      </w:pPr>
      <w:bookmarkStart w:id="36" w:name="Xaa81ef4567d326470118bb852e3bb462c7e06aa"/>
      <w:r>
        <w:t xml:space="preserve">India </w:t>
      </w:r>
    </w:p>
    <w:p w14:paraId="68E36A88" w14:textId="77777777" w:rsidR="004927EA" w:rsidRDefault="00000000">
      <w:r>
        <w:rPr>
          <w:i/>
          <w:iCs/>
        </w:rPr>
        <w:t>IR227 Seminar 6 — Group worksheet</w:t>
      </w:r>
    </w:p>
    <w:p w14:paraId="777ADA17" w14:textId="77777777" w:rsidR="004927EA" w:rsidRDefault="00000000">
      <w:pPr>
        <w:pStyle w:val="Heading3"/>
      </w:pPr>
      <w:bookmarkStart w:id="37" w:name="task-5"/>
      <w:r>
        <w:t>Task</w:t>
      </w:r>
    </w:p>
    <w:p w14:paraId="3F0D99C5" w14:textId="77777777" w:rsidR="004927EA" w:rsidRDefault="00000000">
      <w:r>
        <w:t>Take your assigned country’s welfare-state arrangements and produce a short diagnostic memo: classify the welfare regime, name the coalition that built it, and assess whether policy feedback has made it durable or is eroding it.</w:t>
      </w:r>
    </w:p>
    <w:p w14:paraId="07D0E653" w14:textId="77777777" w:rsidR="004927EA" w:rsidRDefault="00000000">
      <w:pPr>
        <w:pStyle w:val="BodyText"/>
      </w:pPr>
      <w:r>
        <w:t>The analytical tools you will deploy are: Esping-Andersen’s three-worlds typology, power-resources theory, and Pierson’s policy-feedback framework.</w:t>
      </w:r>
    </w:p>
    <w:p w14:paraId="7420A3C3" w14:textId="77777777" w:rsidR="004927EA" w:rsidRDefault="00000000">
      <w:pPr>
        <w:pStyle w:val="Heading3"/>
      </w:pPr>
      <w:bookmarkStart w:id="38" w:name="requirements-5"/>
      <w:bookmarkEnd w:id="37"/>
      <w:r>
        <w:t>Requirements</w:t>
      </w:r>
    </w:p>
    <w:p w14:paraId="23377716" w14:textId="77777777" w:rsidR="004927EA" w:rsidRDefault="00000000">
      <w:pPr>
        <w:numPr>
          <w:ilvl w:val="0"/>
          <w:numId w:val="41"/>
        </w:numPr>
      </w:pPr>
      <w:r>
        <w:t>classify the country’s welfare-state arrangement using Esping-Andersen’s typology, and say explicitly where the classification fits and where it doesn’t,</w:t>
      </w:r>
    </w:p>
    <w:p w14:paraId="21E05B97" w14:textId="77777777" w:rsidR="004927EA" w:rsidRDefault="00000000">
      <w:pPr>
        <w:numPr>
          <w:ilvl w:val="0"/>
          <w:numId w:val="41"/>
        </w:numPr>
      </w:pPr>
      <w:r>
        <w:t>name the political coalition(s) that produced the configuration, in power-resources terms,</w:t>
      </w:r>
    </w:p>
    <w:p w14:paraId="3726661B" w14:textId="77777777" w:rsidR="004927EA" w:rsidRDefault="00000000">
      <w:pPr>
        <w:numPr>
          <w:ilvl w:val="0"/>
          <w:numId w:val="41"/>
        </w:numPr>
      </w:pPr>
      <w:r>
        <w:t>analyse the policy-feedback dynamics that have made (or unmade) the arrangement durable, and</w:t>
      </w:r>
    </w:p>
    <w:p w14:paraId="5727E0C4" w14:textId="77777777" w:rsidR="004927EA" w:rsidRDefault="00000000">
      <w:pPr>
        <w:numPr>
          <w:ilvl w:val="0"/>
          <w:numId w:val="41"/>
        </w:numPr>
      </w:pPr>
      <w:r>
        <w:t>close with a portability reflection: which elements of the framework apply to your case, and which require adaptation.</w:t>
      </w:r>
    </w:p>
    <w:p w14:paraId="2FE69991" w14:textId="77777777" w:rsidR="004927EA" w:rsidRDefault="00000000">
      <w:r>
        <w:t>Note: these cases are deliberately under-determined. There is no single correct verdict — you will be assessed on the strength of the reasoning chain (classification → coalition → feedback → portability reflection), not on which verdict you reach.</w:t>
      </w:r>
    </w:p>
    <w:p w14:paraId="3C9E2BC3" w14:textId="77777777" w:rsidR="004927EA" w:rsidRDefault="00000000">
      <w:pPr>
        <w:pStyle w:val="Heading3"/>
      </w:pPr>
      <w:bookmarkStart w:id="39" w:name="tool-summary-5"/>
      <w:bookmarkEnd w:id="38"/>
      <w:r>
        <w:t>Tool summary</w:t>
      </w:r>
    </w:p>
    <w:p w14:paraId="1B01BABF" w14:textId="77777777" w:rsidR="004927EA" w:rsidRDefault="00000000">
      <w:r>
        <w:rPr>
          <w:b/>
          <w:bCs/>
        </w:rPr>
        <w:t>Esping-Andersen’s three worlds (Esping-Andersen 1990).</w:t>
      </w:r>
      <w:r>
        <w:t xml:space="preserve"> Ask which world a country’s welfare-state design most resembles, using decommodification — the degree to which a person can maintain a livelihood without relying on the market — as the key measure.</w:t>
      </w:r>
    </w:p>
    <w:p w14:paraId="2C66023C" w14:textId="77777777" w:rsidR="004927EA" w:rsidRDefault="00000000">
      <w:pPr>
        <w:numPr>
          <w:ilvl w:val="0"/>
          <w:numId w:val="42"/>
        </w:numPr>
      </w:pPr>
      <w:r>
        <w:t>Liberal — market-residual; means-tested benefits dominate; modest decommodification.</w:t>
      </w:r>
    </w:p>
    <w:p w14:paraId="60709142" w14:textId="77777777" w:rsidR="004927EA" w:rsidRDefault="00000000">
      <w:pPr>
        <w:numPr>
          <w:ilvl w:val="0"/>
          <w:numId w:val="42"/>
        </w:numPr>
      </w:pPr>
      <w:r>
        <w:t>Conservative-corporatist — status-preserving; benefits tied to labour-market/occupational participation; strong family role.</w:t>
      </w:r>
    </w:p>
    <w:p w14:paraId="59818C88" w14:textId="77777777" w:rsidR="004927EA" w:rsidRDefault="00000000">
      <w:pPr>
        <w:numPr>
          <w:ilvl w:val="0"/>
          <w:numId w:val="42"/>
        </w:numPr>
      </w:pPr>
      <w:r>
        <w:t>Social-democratic — universalist; state provision; high decommodification; defamilialised (the state, not the family, absorbs care work).</w:t>
      </w:r>
    </w:p>
    <w:p w14:paraId="59F92B66" w14:textId="77777777" w:rsidR="004927EA" w:rsidRDefault="00000000">
      <w:r>
        <w:rPr>
          <w:b/>
          <w:bCs/>
        </w:rPr>
        <w:t>Power-resources theory (Huber and Stephens 2001).</w:t>
      </w:r>
      <w:r>
        <w:t xml:space="preserve"> Ask which political coalition built and sustains the arrangement — this is broader than labour-union strength alone.</w:t>
      </w:r>
    </w:p>
    <w:p w14:paraId="4702DAC5" w14:textId="77777777" w:rsidR="004927EA" w:rsidRDefault="00000000">
      <w:pPr>
        <w:numPr>
          <w:ilvl w:val="0"/>
          <w:numId w:val="43"/>
        </w:numPr>
      </w:pPr>
      <w:r>
        <w:lastRenderedPageBreak/>
        <w:t>Where labour was strong and could ally with middle-class farmers or white-collar workers, comprehensive welfare states emerged.</w:t>
      </w:r>
    </w:p>
    <w:p w14:paraId="538F94ED" w14:textId="77777777" w:rsidR="004927EA" w:rsidRDefault="00000000">
      <w:pPr>
        <w:numPr>
          <w:ilvl w:val="0"/>
          <w:numId w:val="43"/>
        </w:numPr>
      </w:pPr>
      <w:r>
        <w:t>Where labour was weaker or divided, residual or segmented systems developed.</w:t>
      </w:r>
    </w:p>
    <w:p w14:paraId="46512E60" w14:textId="77777777" w:rsidR="004927EA" w:rsidRDefault="00000000">
      <w:pPr>
        <w:numPr>
          <w:ilvl w:val="0"/>
          <w:numId w:val="43"/>
        </w:numPr>
      </w:pPr>
      <w:r>
        <w:t>In middle-income contexts, look for programmatic parties competing for poor electorates, constitutional courts, and civil-society coalitions as alternative coalition-builders.</w:t>
      </w:r>
    </w:p>
    <w:p w14:paraId="336CF064" w14:textId="77777777" w:rsidR="004927EA" w:rsidRDefault="00000000">
      <w:r>
        <w:rPr>
          <w:b/>
          <w:bCs/>
        </w:rPr>
        <w:t>Pierson’s policy-feedback framework (Pierson 1993).</w:t>
      </w:r>
      <w:r>
        <w:t xml:space="preserve"> Ask how existing programmes shape the politics of subsequent reform attempts — feedback can entrench an arrangement or erode it.</w:t>
      </w:r>
    </w:p>
    <w:p w14:paraId="754F0C29" w14:textId="77777777" w:rsidR="004927EA" w:rsidRDefault="00000000">
      <w:pPr>
        <w:numPr>
          <w:ilvl w:val="0"/>
          <w:numId w:val="44"/>
        </w:numPr>
      </w:pPr>
      <w:r>
        <w:t>Resource/incentive effects and interpretive/cognitive effects, across mass publics, interest groups, and government officials.</w:t>
      </w:r>
    </w:p>
    <w:p w14:paraId="749266F2" w14:textId="77777777" w:rsidR="004927EA" w:rsidRDefault="00000000">
      <w:pPr>
        <w:numPr>
          <w:ilvl w:val="0"/>
          <w:numId w:val="44"/>
        </w:numPr>
      </w:pPr>
      <w:r>
        <w:t>Universal programmes tend to build broad constituencies; means-tested programmes tend to build narrower, more exposed ones.</w:t>
      </w:r>
    </w:p>
    <w:p w14:paraId="2F843B0A" w14:textId="77777777" w:rsidR="004927EA" w:rsidRDefault="00000000">
      <w:pPr>
        <w:numPr>
          <w:ilvl w:val="0"/>
          <w:numId w:val="44"/>
        </w:numPr>
      </w:pPr>
      <w:r>
        <w:t>Feedback can also work against an arrangement: drift, retrenchment-via-inflation, gradual conversion.</w:t>
      </w:r>
    </w:p>
    <w:p w14:paraId="7ED9C279" w14:textId="77777777" w:rsidR="004927EA" w:rsidRDefault="00000000">
      <w:pPr>
        <w:pStyle w:val="Heading3"/>
      </w:pPr>
      <w:bookmarkStart w:id="40" w:name="case-specifics-from-the-case-pack-5"/>
      <w:bookmarkEnd w:id="39"/>
      <w:r>
        <w:t>Case specifics (from the case pack)</w:t>
      </w:r>
    </w:p>
    <w:p w14:paraId="0306A5FB" w14:textId="77777777" w:rsidR="004927EA" w:rsidRDefault="00000000">
      <w:r>
        <w:t>India’s most significant welfare-state expansion of the 2000s–2010s took the form of a series of specific rights-based programmes rather than a comprehensive, unified welfare-state architecture: a rural employment guarantee (NREGA, 2005), a right to information (RTI, 2005), a right to education (RTE, 2009), and a national food-security entitlement (NFSA, 2013). Each programme created a distinct entitlement and, in some cases, a route to judicial enforcement — for example, the right to food was established as a justiciable claim through Supreme Court litigation. A cash-transfer programme for farmer households (PM-KISAN) was introduced in 2019.</w:t>
      </w:r>
    </w:p>
    <w:p w14:paraId="311A31C7" w14:textId="77777777" w:rsidR="004927EA" w:rsidRDefault="00000000">
      <w:pPr>
        <w:pStyle w:val="BodyText"/>
      </w:pPr>
      <w:r>
        <w:rPr>
          <w:b/>
          <w:bCs/>
        </w:rPr>
        <w:t>Case: the agency’s data</w:t>
      </w:r>
    </w:p>
    <w:p w14:paraId="54F45D7C" w14:textId="77777777" w:rsidR="004927EA" w:rsidRDefault="00000000">
      <w:pPr>
        <w:numPr>
          <w:ilvl w:val="0"/>
          <w:numId w:val="45"/>
        </w:numPr>
      </w:pPr>
      <w:r>
        <w:t>Coalition and institutional history: these programmes were enacted under United Progressive Alliance (UPA) governments from the mid-2000s to the early 2010s; India’s Supreme Court and civil-society/NGO coalitions have played active roles in both establishing and enforcing several of these entitlements; governments since 2014 have modified rather than replaced most of the architecture, with implementation varying significantly by state (for example, Tamil Nadu and Kerala have maintained or expanded programmes).</w:t>
      </w:r>
    </w:p>
    <w:p w14:paraId="3DB345C0" w14:textId="77777777" w:rsidR="004927EA" w:rsidRDefault="00000000">
      <w:pPr>
        <w:numPr>
          <w:ilvl w:val="0"/>
          <w:numId w:val="45"/>
        </w:numPr>
      </w:pPr>
      <w:r>
        <w:t>Welfare-state institutions: NREGA (2005, guarantees up to 100 days of rural employment per household per year); RTI (2005); RTE (2009); NFSA (2013); PM-KISAN (2019).</w:t>
      </w:r>
    </w:p>
    <w:p w14:paraId="21879937" w14:textId="77777777" w:rsidR="004927EA" w:rsidRDefault="00000000">
      <w:pPr>
        <w:numPr>
          <w:ilvl w:val="0"/>
          <w:numId w:val="45"/>
        </w:numPr>
      </w:pPr>
      <w:r>
        <w:lastRenderedPageBreak/>
        <w:t>Recent developments: continued state-level variation in implementation intensity; periodic restructuring proposals at the national level.</w:t>
      </w:r>
    </w:p>
    <w:p w14:paraId="6A0D8AE0" w14:textId="77777777" w:rsidR="004927EA" w:rsidRDefault="00000000">
      <w:pPr>
        <w:pStyle w:val="Heading3"/>
      </w:pPr>
      <w:bookmarkStart w:id="41" w:name="X568068362dc8e4133806000961525b2dac20a29"/>
      <w:bookmarkEnd w:id="40"/>
      <w:r>
        <w:t>Discussion questions from the case pack</w:t>
      </w:r>
    </w:p>
    <w:p w14:paraId="2495A08C" w14:textId="77777777" w:rsidR="004927EA" w:rsidRDefault="00000000">
      <w:pPr>
        <w:numPr>
          <w:ilvl w:val="0"/>
          <w:numId w:val="46"/>
        </w:numPr>
      </w:pPr>
      <w:r>
        <w:t>Does India’s welfare-state expansion fit within any of Esping-Andersen’s three worlds, or does it call for a different framework altogether? What is it about the mode of expansion — programme-by-programme, rights-based — that makes the classification difficult?</w:t>
      </w:r>
    </w:p>
    <w:p w14:paraId="1B3CE74A" w14:textId="77777777" w:rsidR="004927EA" w:rsidRDefault="00000000">
      <w:pPr>
        <w:numPr>
          <w:ilvl w:val="0"/>
          <w:numId w:val="46"/>
        </w:numPr>
      </w:pPr>
      <w:r>
        <w:t>What role do courts and civil-society coalitions play here that isn’t well captured by “labour strength” as usually understood in power-resources theory?</w:t>
      </w:r>
    </w:p>
    <w:p w14:paraId="0A81BFDA" w14:textId="77777777" w:rsidR="004927EA" w:rsidRDefault="00000000">
      <w:pPr>
        <w:numPr>
          <w:ilvl w:val="0"/>
          <w:numId w:val="46"/>
        </w:numPr>
      </w:pPr>
      <w:r>
        <w:t>Compare with your paired Brazil group: both countries saw significant welfare expansion in the 2000s, but through different institutional routes — constitutional anchoring versus programme-by-programme rights legislation. What does the contrast suggest about how many distinct paths to welfare expansion exist in middle-income democracies?</w:t>
      </w:r>
    </w:p>
    <w:p w14:paraId="2EA9C9FD" w14:textId="77777777" w:rsidR="004927EA" w:rsidRDefault="00000000">
      <w:pPr>
        <w:numPr>
          <w:ilvl w:val="0"/>
          <w:numId w:val="46"/>
        </w:numPr>
      </w:pPr>
      <w:r>
        <w:t>Portability reflection: which element of the Esping-Andersen/power-resources toolkit, if any, still does useful work here, and which most needs rebuilding for this case?</w:t>
      </w:r>
      <w:bookmarkEnd w:id="35"/>
      <w:bookmarkEnd w:id="36"/>
      <w:bookmarkEnd w:id="41"/>
    </w:p>
    <w:sectPr w:rsidR="004927EA"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BC79BD" w14:textId="77777777" w:rsidR="00DC27C7" w:rsidRDefault="00DC27C7">
      <w:pPr>
        <w:spacing w:after="0" w:line="240" w:lineRule="auto"/>
      </w:pPr>
      <w:r>
        <w:separator/>
      </w:r>
    </w:p>
  </w:endnote>
  <w:endnote w:type="continuationSeparator" w:id="0">
    <w:p w14:paraId="789CEBB4" w14:textId="77777777" w:rsidR="00DC27C7" w:rsidRDefault="00DC2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66E638" w14:textId="77777777" w:rsidR="00DC27C7" w:rsidRDefault="00DC27C7">
      <w:r>
        <w:separator/>
      </w:r>
    </w:p>
  </w:footnote>
  <w:footnote w:type="continuationSeparator" w:id="0">
    <w:p w14:paraId="07B79754" w14:textId="77777777" w:rsidR="00DC27C7" w:rsidRDefault="00DC27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A990"/>
    <w:multiLevelType w:val="multilevel"/>
    <w:tmpl w:val="77AA1A8A"/>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0" w15:restartNumberingAfterBreak="0">
    <w:nsid w:val="0000A991"/>
    <w:multiLevelType w:val="multilevel"/>
    <w:tmpl w:val="9BB616F0"/>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16cid:durableId="1973555985">
    <w:abstractNumId w:val="8"/>
  </w:num>
  <w:num w:numId="2" w16cid:durableId="1366563869">
    <w:abstractNumId w:val="6"/>
  </w:num>
  <w:num w:numId="3" w16cid:durableId="1202668815">
    <w:abstractNumId w:val="5"/>
  </w:num>
  <w:num w:numId="4" w16cid:durableId="892079298">
    <w:abstractNumId w:val="4"/>
  </w:num>
  <w:num w:numId="5" w16cid:durableId="1506898117">
    <w:abstractNumId w:val="7"/>
  </w:num>
  <w:num w:numId="6" w16cid:durableId="2120489874">
    <w:abstractNumId w:val="3"/>
  </w:num>
  <w:num w:numId="7" w16cid:durableId="1656684556">
    <w:abstractNumId w:val="2"/>
  </w:num>
  <w:num w:numId="8" w16cid:durableId="505946227">
    <w:abstractNumId w:val="1"/>
  </w:num>
  <w:num w:numId="9" w16cid:durableId="617180631">
    <w:abstractNumId w:val="0"/>
  </w:num>
  <w:num w:numId="10" w16cid:durableId="1190022041">
    <w:abstractNumId w:val="9"/>
  </w:num>
  <w:num w:numId="11" w16cid:durableId="2058359778">
    <w:abstractNumId w:val="10"/>
  </w:num>
  <w:num w:numId="12" w16cid:durableId="119307822">
    <w:abstractNumId w:val="10"/>
  </w:num>
  <w:num w:numId="13" w16cid:durableId="1805852894">
    <w:abstractNumId w:val="10"/>
  </w:num>
  <w:num w:numId="14" w16cid:durableId="1386488470">
    <w:abstractNumId w:val="10"/>
  </w:num>
  <w:num w:numId="15" w16cid:durableId="1988893174">
    <w:abstractNumId w:val="10"/>
  </w:num>
  <w:num w:numId="16" w16cid:durableId="1392003305">
    <w:abstractNumId w:val="10"/>
  </w:num>
  <w:num w:numId="17" w16cid:durableId="1325016118">
    <w:abstractNumId w:val="10"/>
  </w:num>
  <w:num w:numId="18" w16cid:durableId="1878817144">
    <w:abstractNumId w:val="10"/>
  </w:num>
  <w:num w:numId="19" w16cid:durableId="1573154858">
    <w:abstractNumId w:val="10"/>
  </w:num>
  <w:num w:numId="20" w16cid:durableId="104270799">
    <w:abstractNumId w:val="10"/>
  </w:num>
  <w:num w:numId="21" w16cid:durableId="1475291914">
    <w:abstractNumId w:val="10"/>
  </w:num>
  <w:num w:numId="22" w16cid:durableId="200213343">
    <w:abstractNumId w:val="10"/>
  </w:num>
  <w:num w:numId="23" w16cid:durableId="2043939562">
    <w:abstractNumId w:val="10"/>
  </w:num>
  <w:num w:numId="24" w16cid:durableId="1807509595">
    <w:abstractNumId w:val="10"/>
  </w:num>
  <w:num w:numId="25" w16cid:durableId="2060322086">
    <w:abstractNumId w:val="10"/>
  </w:num>
  <w:num w:numId="26" w16cid:durableId="1979869937">
    <w:abstractNumId w:val="10"/>
  </w:num>
  <w:num w:numId="27" w16cid:durableId="966399779">
    <w:abstractNumId w:val="10"/>
  </w:num>
  <w:num w:numId="28" w16cid:durableId="623509925">
    <w:abstractNumId w:val="10"/>
  </w:num>
  <w:num w:numId="29" w16cid:durableId="2019769415">
    <w:abstractNumId w:val="10"/>
  </w:num>
  <w:num w:numId="30" w16cid:durableId="753087347">
    <w:abstractNumId w:val="10"/>
  </w:num>
  <w:num w:numId="31" w16cid:durableId="1062097200">
    <w:abstractNumId w:val="10"/>
  </w:num>
  <w:num w:numId="32" w16cid:durableId="1004629900">
    <w:abstractNumId w:val="10"/>
  </w:num>
  <w:num w:numId="33" w16cid:durableId="422996436">
    <w:abstractNumId w:val="10"/>
  </w:num>
  <w:num w:numId="34" w16cid:durableId="2117091993">
    <w:abstractNumId w:val="10"/>
  </w:num>
  <w:num w:numId="35" w16cid:durableId="1220215306">
    <w:abstractNumId w:val="10"/>
  </w:num>
  <w:num w:numId="36" w16cid:durableId="1477723539">
    <w:abstractNumId w:val="10"/>
  </w:num>
  <w:num w:numId="37" w16cid:durableId="618755822">
    <w:abstractNumId w:val="10"/>
  </w:num>
  <w:num w:numId="38" w16cid:durableId="245113171">
    <w:abstractNumId w:val="10"/>
  </w:num>
  <w:num w:numId="39" w16cid:durableId="1270621714">
    <w:abstractNumId w:val="10"/>
  </w:num>
  <w:num w:numId="40" w16cid:durableId="1103184580">
    <w:abstractNumId w:val="10"/>
  </w:num>
  <w:num w:numId="41" w16cid:durableId="1416980155">
    <w:abstractNumId w:val="10"/>
  </w:num>
  <w:num w:numId="42" w16cid:durableId="1759063144">
    <w:abstractNumId w:val="10"/>
  </w:num>
  <w:num w:numId="43" w16cid:durableId="1478843927">
    <w:abstractNumId w:val="10"/>
  </w:num>
  <w:num w:numId="44" w16cid:durableId="338890559">
    <w:abstractNumId w:val="10"/>
  </w:num>
  <w:num w:numId="45" w16cid:durableId="1382441964">
    <w:abstractNumId w:val="10"/>
  </w:num>
  <w:num w:numId="46" w16cid:durableId="222451204">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3"/>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32A1"/>
    <w:rsid w:val="0006063C"/>
    <w:rsid w:val="0015074B"/>
    <w:rsid w:val="0025775B"/>
    <w:rsid w:val="0029639D"/>
    <w:rsid w:val="00326F90"/>
    <w:rsid w:val="004927EA"/>
    <w:rsid w:val="005D1614"/>
    <w:rsid w:val="005D7A31"/>
    <w:rsid w:val="00896889"/>
    <w:rsid w:val="00AA1D8D"/>
    <w:rsid w:val="00B47730"/>
    <w:rsid w:val="00C77641"/>
    <w:rsid w:val="00CB0664"/>
    <w:rsid w:val="00D4168F"/>
    <w:rsid w:val="00DC27C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110DCA"/>
  <w15:docId w15:val="{FEF44EBA-F3AD-E74C-9C3C-7D9777195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customStyle="1" w:styleId="KeywordTok0">
    <w:name w:val="KeywordTok"/>
    <w:rPr>
      <w:b/>
      <w:color w:val="007020"/>
    </w:rPr>
  </w:style>
  <w:style w:type="character" w:customStyle="1" w:styleId="DataTypeTok0">
    <w:name w:val="DataTypeTok"/>
    <w:rPr>
      <w:color w:val="902000"/>
    </w:rPr>
  </w:style>
  <w:style w:type="character" w:customStyle="1" w:styleId="DecValTok0">
    <w:name w:val="DecValTok"/>
    <w:rPr>
      <w:color w:val="40A070"/>
    </w:rPr>
  </w:style>
  <w:style w:type="character" w:customStyle="1" w:styleId="BaseNTok0">
    <w:name w:val="BaseNTok"/>
    <w:rPr>
      <w:color w:val="40A070"/>
    </w:rPr>
  </w:style>
  <w:style w:type="character" w:customStyle="1" w:styleId="FloatTok0">
    <w:name w:val="FloatTok"/>
    <w:rPr>
      <w:color w:val="40A070"/>
    </w:rPr>
  </w:style>
  <w:style w:type="character" w:customStyle="1" w:styleId="ConstantTok0">
    <w:name w:val="ConstantTok"/>
    <w:rPr>
      <w:color w:val="880000"/>
    </w:rPr>
  </w:style>
  <w:style w:type="character" w:customStyle="1" w:styleId="CharTok0">
    <w:name w:val="CharTok"/>
    <w:rPr>
      <w:color w:val="4070A0"/>
    </w:rPr>
  </w:style>
  <w:style w:type="character" w:customStyle="1" w:styleId="SpecialCharTok0">
    <w:name w:val="SpecialCharTok"/>
    <w:rPr>
      <w:color w:val="4070A0"/>
    </w:rPr>
  </w:style>
  <w:style w:type="character" w:customStyle="1" w:styleId="StringTok0">
    <w:name w:val="StringTok"/>
    <w:rPr>
      <w:color w:val="4070A0"/>
    </w:rPr>
  </w:style>
  <w:style w:type="character" w:customStyle="1" w:styleId="VerbatimStringTok0">
    <w:name w:val="VerbatimStringTok"/>
    <w:rPr>
      <w:color w:val="4070A0"/>
    </w:rPr>
  </w:style>
  <w:style w:type="character" w:customStyle="1" w:styleId="SpecialStringTok0">
    <w:name w:val="SpecialStringTok"/>
    <w:rPr>
      <w:color w:val="BB6688"/>
    </w:rPr>
  </w:style>
  <w:style w:type="character" w:customStyle="1" w:styleId="ImportTok0">
    <w:name w:val="ImportTok"/>
    <w:rPr>
      <w:b/>
      <w:color w:val="008000"/>
    </w:rPr>
  </w:style>
  <w:style w:type="character" w:customStyle="1" w:styleId="CommentTok0">
    <w:name w:val="CommentTok"/>
    <w:rPr>
      <w:i/>
      <w:color w:val="60A0B0"/>
    </w:rPr>
  </w:style>
  <w:style w:type="character" w:customStyle="1" w:styleId="DocumentationTok0">
    <w:name w:val="DocumentationTok"/>
    <w:rPr>
      <w:i/>
      <w:color w:val="BA2121"/>
    </w:rPr>
  </w:style>
  <w:style w:type="character" w:customStyle="1" w:styleId="AnnotationTok0">
    <w:name w:val="AnnotationTok"/>
    <w:rPr>
      <w:b/>
      <w:i/>
      <w:color w:val="60A0B0"/>
    </w:rPr>
  </w:style>
  <w:style w:type="character" w:customStyle="1" w:styleId="CommentVarTok0">
    <w:name w:val="CommentVarTok"/>
    <w:rPr>
      <w:b/>
      <w:i/>
      <w:color w:val="60A0B0"/>
    </w:rPr>
  </w:style>
  <w:style w:type="character" w:customStyle="1" w:styleId="OtherTok0">
    <w:name w:val="OtherTok"/>
    <w:rPr>
      <w:color w:val="007020"/>
    </w:rPr>
  </w:style>
  <w:style w:type="character" w:customStyle="1" w:styleId="FunctionTok0">
    <w:name w:val="FunctionTok"/>
    <w:rPr>
      <w:color w:val="06287E"/>
    </w:rPr>
  </w:style>
  <w:style w:type="character" w:customStyle="1" w:styleId="VariableTok0">
    <w:name w:val="VariableTok"/>
    <w:rPr>
      <w:color w:val="19177C"/>
    </w:rPr>
  </w:style>
  <w:style w:type="character" w:customStyle="1" w:styleId="ControlFlowTok0">
    <w:name w:val="ControlFlowTok"/>
    <w:rPr>
      <w:b/>
      <w:color w:val="007020"/>
    </w:rPr>
  </w:style>
  <w:style w:type="character" w:customStyle="1" w:styleId="OperatorTok0">
    <w:name w:val="OperatorTok"/>
    <w:rPr>
      <w:color w:val="666666"/>
    </w:rPr>
  </w:style>
  <w:style w:type="character" w:customStyle="1" w:styleId="BuiltInTok0">
    <w:name w:val="BuiltInTok"/>
    <w:rPr>
      <w:color w:val="008000"/>
    </w:rPr>
  </w:style>
  <w:style w:type="character" w:customStyle="1" w:styleId="ExtensionTok0">
    <w:name w:val="ExtensionTok"/>
  </w:style>
  <w:style w:type="character" w:customStyle="1" w:styleId="PreprocessorTok0">
    <w:name w:val="PreprocessorTok"/>
    <w:rPr>
      <w:color w:val="BC7A00"/>
    </w:rPr>
  </w:style>
  <w:style w:type="character" w:customStyle="1" w:styleId="AttributeTok0">
    <w:name w:val="AttributeTok"/>
    <w:rPr>
      <w:color w:val="7D9029"/>
    </w:rPr>
  </w:style>
  <w:style w:type="character" w:customStyle="1" w:styleId="RegionMarkerTok0">
    <w:name w:val="RegionMarkerTok"/>
  </w:style>
  <w:style w:type="character" w:customStyle="1" w:styleId="InformationTok0">
    <w:name w:val="InformationTok"/>
    <w:rPr>
      <w:b/>
      <w:i/>
      <w:color w:val="60A0B0"/>
    </w:rPr>
  </w:style>
  <w:style w:type="character" w:customStyle="1" w:styleId="WarningTok0">
    <w:name w:val="WarningTok"/>
    <w:rPr>
      <w:b/>
      <w:i/>
      <w:color w:val="60A0B0"/>
    </w:rPr>
  </w:style>
  <w:style w:type="character" w:customStyle="1" w:styleId="AlertTok0">
    <w:name w:val="AlertTok"/>
    <w:rPr>
      <w:b/>
      <w:color w:val="FF0000"/>
    </w:rPr>
  </w:style>
  <w:style w:type="character" w:customStyle="1" w:styleId="ErrorTok0">
    <w:name w:val="ErrorTok"/>
    <w:rPr>
      <w:b/>
      <w:color w:val="FF0000"/>
    </w:rPr>
  </w:style>
  <w:style w:type="character" w:customStyle="1" w:styleId="NormalTok0">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18</Pages>
  <Words>4797</Words>
  <Characters>27349</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32082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Pro,E (pgr)</cp:lastModifiedBy>
  <cp:revision>4</cp:revision>
  <dcterms:created xsi:type="dcterms:W3CDTF">2026-07-08T10:45:00Z</dcterms:created>
  <dcterms:modified xsi:type="dcterms:W3CDTF">2026-07-20T11:44:00Z</dcterms:modified>
</cp:coreProperties>
</file>