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integrating-the-part-1-toolkit-worksheet"/>
    <w:p>
      <w:pPr>
        <w:pStyle w:val="Heading1"/>
      </w:pPr>
      <w:r>
        <w:t xml:space="preserve">Integrating the Part-1 Toolkit — Worksheet</w:t>
      </w:r>
    </w:p>
    <w:bookmarkStart w:id="25" w:name="uk-19791981-paradigm-shift-pair"/>
    <w:p>
      <w:pPr>
        <w:pStyle w:val="Heading2"/>
      </w:pPr>
      <w:r>
        <w:t xml:space="preserve">UK 1979–1981 — Paradigm-shift pair</w:t>
      </w:r>
    </w:p>
    <w:p>
      <w:pPr>
        <w:pStyle w:val="FirstParagraph"/>
      </w:pPr>
      <w:r>
        <w:rPr>
          <w:i/>
          <w:iCs/>
        </w:rPr>
        <w:t xml:space="preserve">IR227 Seminar 5 — Group worksheet</w:t>
      </w:r>
    </w:p>
    <w:bookmarkStart w:id="20" w:name="task"/>
    <w:p>
      <w:pPr>
        <w:pStyle w:val="Heading3"/>
      </w:pPr>
      <w:r>
        <w:t xml:space="preserve">Task</w:t>
      </w:r>
    </w:p>
    <w:p>
      <w:pPr>
        <w:pStyle w:val="FirstParagraph"/>
      </w:pPr>
      <w:r>
        <w:t xml:space="preserve">Take your assigned policy episode and apply 3–4 frameworks from Sessions 1–5. For each, identify what it lights up and what it misses. Then reflect on which of Cairney’s combination strategies best fits your analysis.</w:t>
      </w:r>
    </w:p>
    <w:p>
      <w:pPr>
        <w:pStyle w:val="BodyText"/>
      </w:pPr>
      <w:r>
        <w:t xml:space="preserve">You will select 3–4 analytical tools yourself from across Sessions 1–5. Hall’s three orders of policy change, veto-player theory, and Cairney’s three combination strategies (recapped below) are the session’s core anchors — draw on these plus whatever else from Sessions 1–5 makes the sharpest claims about your case.</w:t>
      </w:r>
    </w:p>
    <w:bookmarkEnd w:id="20"/>
    <w:bookmarkStart w:id="21" w:name="requirements"/>
    <w:p>
      <w:pPr>
        <w:pStyle w:val="Heading3"/>
      </w:pPr>
      <w:r>
        <w:t xml:space="preserve">Requirements</w:t>
      </w:r>
    </w:p>
    <w:p>
      <w:pPr>
        <w:pStyle w:val="Compact"/>
        <w:numPr>
          <w:ilvl w:val="0"/>
          <w:numId w:val="1001"/>
        </w:numPr>
      </w:pPr>
      <w:r>
        <w:t xml:space="preserve">select 3–4 frameworks deliberately,</w:t>
      </w:r>
    </w:p>
    <w:p>
      <w:pPr>
        <w:pStyle w:val="Compact"/>
        <w:numPr>
          <w:ilvl w:val="0"/>
          <w:numId w:val="1001"/>
        </w:numPr>
      </w:pPr>
      <w:r>
        <w:t xml:space="preserve">make each framework produce a specific, defensible claim about the case — not name-dropping,</w:t>
      </w:r>
    </w:p>
    <w:p>
      <w:pPr>
        <w:pStyle w:val="Compact"/>
        <w:numPr>
          <w:ilvl w:val="0"/>
          <w:numId w:val="1001"/>
        </w:numPr>
      </w:pPr>
      <w:r>
        <w:t xml:space="preserve">identify what each framework misses,</w:t>
      </w:r>
    </w:p>
    <w:p>
      <w:pPr>
        <w:pStyle w:val="Compact"/>
        <w:numPr>
          <w:ilvl w:val="0"/>
          <w:numId w:val="1001"/>
        </w:numPr>
      </w:pPr>
      <w:r>
        <w:t xml:space="preserve">describe what the multi-framework integration adds that no single framework would, and</w:t>
      </w:r>
    </w:p>
    <w:p>
      <w:pPr>
        <w:pStyle w:val="Compact"/>
        <w:numPr>
          <w:ilvl w:val="0"/>
          <w:numId w:val="1001"/>
        </w:numPr>
      </w:pPr>
      <w:r>
        <w:t xml:space="preserve">close with a Cairney reflection on which combination strategy (synthesis, complementary, or contradictory) fits.</w:t>
      </w:r>
    </w:p>
    <w:p>
      <w:pPr>
        <w:pStyle w:val="FirstParagraph"/>
      </w:pPr>
      <w:r>
        <w:t xml:space="preserve">Note: these cases are deliberately under-determined. There is no single correct verdict — you will be assessed on the strength of the reasoning chain (framework selection → deployment claims → what each misses → integration → Cairney reflection), not on which verdict you reach.</w:t>
      </w:r>
    </w:p>
    <w:bookmarkEnd w:id="21"/>
    <w:bookmarkStart w:id="22" w:name="tool-summary"/>
    <w:p>
      <w:pPr>
        <w:pStyle w:val="Heading3"/>
      </w:pPr>
      <w:r>
        <w:t xml:space="preserve">Tool summary</w:t>
      </w:r>
    </w:p>
    <w:p>
      <w:pPr>
        <w:pStyle w:val="FirstParagraph"/>
      </w:pPr>
      <w:r>
        <w:rPr>
          <w:b/>
          <w:bCs/>
        </w:rPr>
        <w:t xml:space="preserve">Hall’s three orders of policy change (Hall 1993).</w:t>
      </w:r>
      <w:r>
        <w:t xml:space="preserve"> </w:t>
      </w:r>
      <w:r>
        <w:t xml:space="preserve">Ask which order of change you’re looking at.</w:t>
      </w:r>
    </w:p>
    <w:p>
      <w:pPr>
        <w:pStyle w:val="Compact"/>
        <w:numPr>
          <w:ilvl w:val="0"/>
          <w:numId w:val="1002"/>
        </w:numPr>
      </w:pPr>
      <w:r>
        <w:t xml:space="preserve">First order — adjusting the settings of existing policy instruments.</w:t>
      </w:r>
    </w:p>
    <w:p>
      <w:pPr>
        <w:pStyle w:val="Compact"/>
        <w:numPr>
          <w:ilvl w:val="0"/>
          <w:numId w:val="1002"/>
        </w:numPr>
      </w:pPr>
      <w:r>
        <w:t xml:space="preserve">Second order — changing the instruments themselves.</w:t>
      </w:r>
    </w:p>
    <w:p>
      <w:pPr>
        <w:pStyle w:val="Compact"/>
        <w:numPr>
          <w:ilvl w:val="0"/>
          <w:numId w:val="1002"/>
        </w:numPr>
      </w:pPr>
      <w:r>
        <w:t xml:space="preserve">Third order — shifting the overarching paradigm: goals, concepts, the interpretive frame.</w:t>
      </w:r>
    </w:p>
    <w:p>
      <w:pPr>
        <w:pStyle w:val="FirstParagraph"/>
      </w:pPr>
      <w:r>
        <w:rPr>
          <w:b/>
          <w:bCs/>
        </w:rPr>
        <w:t xml:space="preserve">Veto-player theory (Tsebelis 2002).</w:t>
      </w:r>
      <w:r>
        <w:t xml:space="preserve"> </w:t>
      </w:r>
      <w:r>
        <w:t xml:space="preserve">Ask how many actors must agree to change the status quo, and how ideologically distant they are.</w:t>
      </w:r>
    </w:p>
    <w:p>
      <w:pPr>
        <w:pStyle w:val="Compact"/>
        <w:numPr>
          <w:ilvl w:val="0"/>
          <w:numId w:val="1003"/>
        </w:numPr>
      </w:pPr>
      <w:r>
        <w:t xml:space="preserve">Institutional veto players are specified by the constitution; partisan veto players by the political game (e.g. coalition parties).</w:t>
      </w:r>
    </w:p>
    <w:p>
      <w:pPr>
        <w:pStyle w:val="Compact"/>
        <w:numPr>
          <w:ilvl w:val="0"/>
          <w:numId w:val="1003"/>
        </w:numPr>
      </w:pPr>
      <w:r>
        <w:t xml:space="preserve">The winset of the status quo — the set of policies that could replace it — shrinks as veto-player count, ideological distance, and internal cohesion grow.</w:t>
      </w:r>
    </w:p>
    <w:p>
      <w:pPr>
        <w:pStyle w:val="FirstParagraph"/>
      </w:pPr>
      <w:r>
        <w:rPr>
          <w:b/>
          <w:bCs/>
        </w:rPr>
        <w:t xml:space="preserve">Cairney’s three combination strategies (Cairney 2013).</w:t>
      </w:r>
      <w:r>
        <w:t xml:space="preserve"> </w:t>
      </w:r>
      <w:r>
        <w:t xml:space="preserve">Once you’ve deployed your frameworks, decide how they fit together.</w:t>
      </w:r>
    </w:p>
    <w:p>
      <w:pPr>
        <w:pStyle w:val="Compact"/>
        <w:numPr>
          <w:ilvl w:val="0"/>
          <w:numId w:val="1004"/>
        </w:numPr>
      </w:pPr>
      <w:r>
        <w:t xml:space="preserve">Synthesis — build a single integrated theory drawing on multiple frameworks. Demanding; rare.</w:t>
      </w:r>
    </w:p>
    <w:p>
      <w:pPr>
        <w:pStyle w:val="Compact"/>
        <w:numPr>
          <w:ilvl w:val="0"/>
          <w:numId w:val="1004"/>
        </w:numPr>
      </w:pPr>
      <w:r>
        <w:t xml:space="preserve">Complementary — use different frameworks for different aspects of the case. Most common.</w:t>
      </w:r>
    </w:p>
    <w:p>
      <w:pPr>
        <w:pStyle w:val="Compact"/>
        <w:numPr>
          <w:ilvl w:val="0"/>
          <w:numId w:val="1004"/>
        </w:numPr>
      </w:pPr>
      <w:r>
        <w:t xml:space="preserve">Contradictory — compare what each framework says; choose via a scientific-principles</w:t>
      </w:r>
      <w:r>
        <w:t xml:space="preserve"> </w:t>
      </w:r>
      <w:r>
        <w:t xml:space="preserve">“</w:t>
      </w:r>
      <w:r>
        <w:t xml:space="preserve">shootout.</w:t>
      </w:r>
      <w:r>
        <w:t xml:space="preserve">”</w:t>
      </w:r>
    </w:p>
    <w:bookmarkEnd w:id="22"/>
    <w:bookmarkStart w:id="23" w:name="case-specifics-from-the-case-pack"/>
    <w:p>
      <w:pPr>
        <w:pStyle w:val="Heading3"/>
      </w:pPr>
      <w:r>
        <w:t xml:space="preserve">Case specifics (from the case pack)</w:t>
      </w:r>
    </w:p>
    <w:p>
      <w:pPr>
        <w:pStyle w:val="FirstParagraph"/>
      </w:pPr>
      <w:r>
        <w:t xml:space="preserve">This is the classic case in the policy-paradigms literature. Margaret Thatcher’s first government inherited stagflation, an unsustainable Keynesian-orthodoxy macroeconomic framework, and a Conservative party that had largely accommodated the postwar settlement. Within three years, the policy framework shifted from Keynesian demand management to monetarist anti-inflationary discipline — driven by an alternative expert network (Centre for Policy Studies, IEA, Friedman-aligned monetarists) displacing Treasury orthodoxy, a coalition of political actors able to exploit the moment, and a communicative-discourse repositioning of policy concepts in the public domain.</w:t>
      </w:r>
    </w:p>
    <w:p>
      <w:pPr>
        <w:pStyle w:val="BodyText"/>
      </w:pPr>
      <w:r>
        <w:rPr>
          <w:b/>
          <w:bCs/>
        </w:rPr>
        <w:t xml:space="preserve">Case: the agency’s data</w:t>
      </w:r>
    </w:p>
    <w:p>
      <w:pPr>
        <w:pStyle w:val="Compact"/>
        <w:numPr>
          <w:ilvl w:val="0"/>
          <w:numId w:val="1005"/>
        </w:numPr>
      </w:pPr>
      <w:r>
        <w:t xml:space="preserve">Trigger conditions: 1970s stagflation; 1976 IMF bailout; oil-price shocks; Phillips-curve breakdown.</w:t>
      </w:r>
    </w:p>
    <w:p>
      <w:pPr>
        <w:pStyle w:val="Compact"/>
        <w:numPr>
          <w:ilvl w:val="0"/>
          <w:numId w:val="1005"/>
        </w:numPr>
      </w:pPr>
      <w:r>
        <w:t xml:space="preserve">Policy stream pre-window: monetarist proposals from CPS, IEA, Friedman; alternative-economic-strategy proposals from Labour left.</w:t>
      </w:r>
    </w:p>
    <w:p>
      <w:pPr>
        <w:pStyle w:val="Compact"/>
        <w:numPr>
          <w:ilvl w:val="0"/>
          <w:numId w:val="1005"/>
        </w:numPr>
      </w:pPr>
      <w:r>
        <w:t xml:space="preserve">Political stream pre-window: 1979 election victory; Thatcher’s reshaping of the Conservative Party.</w:t>
      </w:r>
    </w:p>
    <w:p>
      <w:pPr>
        <w:pStyle w:val="Compact"/>
        <w:numPr>
          <w:ilvl w:val="0"/>
          <w:numId w:val="1005"/>
        </w:numPr>
      </w:pPr>
      <w:r>
        <w:t xml:space="preserve">Reform window: 1979 budget; 1980 white papers; 1981 budget reversal of orthodox response to recession.</w:t>
      </w:r>
    </w:p>
    <w:p>
      <w:pPr>
        <w:pStyle w:val="Compact"/>
        <w:numPr>
          <w:ilvl w:val="0"/>
          <w:numId w:val="1005"/>
        </w:numPr>
      </w:pPr>
      <w:r>
        <w:t xml:space="preserve">Coalition dynamics: Treasury vs CPS-aligned advisors; conflict within Cabinet (1981</w:t>
      </w:r>
      <w:r>
        <w:t xml:space="preserve"> </w:t>
      </w:r>
      <w:r>
        <w:t xml:space="preserve">“</w:t>
      </w:r>
      <w:r>
        <w:t xml:space="preserve">wets</w:t>
      </w:r>
      <w:r>
        <w:t xml:space="preserve">”</w:t>
      </w:r>
      <w:r>
        <w:t xml:space="preserve"> </w:t>
      </w:r>
      <w:r>
        <w:t xml:space="preserve">vs Thatcherites).</w:t>
      </w:r>
    </w:p>
    <w:p>
      <w:pPr>
        <w:pStyle w:val="Compact"/>
        <w:numPr>
          <w:ilvl w:val="0"/>
          <w:numId w:val="1005"/>
        </w:numPr>
      </w:pPr>
      <w:r>
        <w:t xml:space="preserve">Outcome: institutional shift to monetarism, including formal MTFS (Medium-Term Financial Strategy); subsequent paradigm consolidation through the 1980s.</w:t>
      </w:r>
    </w:p>
    <w:bookmarkEnd w:id="23"/>
    <w:bookmarkStart w:id="24" w:name="discussion-questions-from-the-case-pack"/>
    <w:p>
      <w:pPr>
        <w:pStyle w:val="Heading3"/>
      </w:pPr>
      <w:r>
        <w:t xml:space="preserve">Discussion questions from the case pack</w:t>
      </w:r>
    </w:p>
    <w:p>
      <w:pPr>
        <w:pStyle w:val="Compact"/>
        <w:numPr>
          <w:ilvl w:val="0"/>
          <w:numId w:val="1006"/>
        </w:numPr>
      </w:pPr>
      <w:r>
        <w:t xml:space="preserve">Which 3–4 frameworks deploy most productively here? Hall’s three orders is the obvious anchor — what else might you add: MSF on the timing, ACF on the coalitional structure, path dependency on the postwar Keynesian inheritance, or discursive institutionalism on the Thatcherite communicative discourse?</w:t>
      </w:r>
    </w:p>
    <w:p>
      <w:pPr>
        <w:pStyle w:val="Compact"/>
        <w:numPr>
          <w:ilvl w:val="0"/>
          <w:numId w:val="1006"/>
        </w:numPr>
      </w:pPr>
      <w:r>
        <w:t xml:space="preserve">For each framework you choose, what specific claim about the case does it produce?</w:t>
      </w:r>
    </w:p>
    <w:p>
      <w:pPr>
        <w:pStyle w:val="Compact"/>
        <w:numPr>
          <w:ilvl w:val="0"/>
          <w:numId w:val="1006"/>
        </w:numPr>
      </w:pPr>
      <w:r>
        <w:t xml:space="preserve">What does each framework miss — and what does the integration add?</w:t>
      </w:r>
    </w:p>
    <w:p>
      <w:pPr>
        <w:pStyle w:val="Compact"/>
        <w:numPr>
          <w:ilvl w:val="0"/>
          <w:numId w:val="1006"/>
        </w:numPr>
      </w:pPr>
      <w:r>
        <w:t xml:space="preserve">Cairney reflection: does your analysis look like synthesis, complementary, or contradictory — and why?</w:t>
      </w:r>
    </w:p>
    <w:p>
      <w:r>
        <w:br w:type="page"/>
      </w:r>
    </w:p>
    <w:bookmarkEnd w:id="24"/>
    <w:bookmarkEnd w:id="25"/>
    <w:bookmarkEnd w:id="26"/>
    <w:bookmarkStart w:id="33" w:name="X6cf74d44b4094fd7a2a33d73d90b3a00ea7f4c1"/>
    <w:p>
      <w:pPr>
        <w:pStyle w:val="Heading1"/>
      </w:pPr>
      <w:r>
        <w:t xml:space="preserve">Integrating the Part-1 Toolkit — Worksheet</w:t>
      </w:r>
    </w:p>
    <w:bookmarkStart w:id="32" w:name="australia-19831996-paradigm-shift-pair"/>
    <w:p>
      <w:pPr>
        <w:pStyle w:val="Heading2"/>
      </w:pPr>
      <w:r>
        <w:t xml:space="preserve">Australia 1983–1996 — Paradigm-shift pair</w:t>
      </w:r>
    </w:p>
    <w:p>
      <w:pPr>
        <w:pStyle w:val="FirstParagraph"/>
      </w:pPr>
      <w:r>
        <w:rPr>
          <w:i/>
          <w:iCs/>
        </w:rPr>
        <w:t xml:space="preserve">IR227 Seminar 5 — Group worksheet</w:t>
      </w:r>
    </w:p>
    <w:bookmarkStart w:id="27" w:name="task-1"/>
    <w:p>
      <w:pPr>
        <w:pStyle w:val="Heading3"/>
      </w:pPr>
      <w:r>
        <w:t xml:space="preserve">Task</w:t>
      </w:r>
    </w:p>
    <w:p>
      <w:pPr>
        <w:pStyle w:val="FirstParagraph"/>
      </w:pPr>
      <w:r>
        <w:t xml:space="preserve">Take your assigned policy episode and apply 3–4 frameworks from Sessions 1–5. For each, identify what it lights up and what it misses. Then reflect on which of Cairney’s combination strategies best fits your analysis.</w:t>
      </w:r>
    </w:p>
    <w:p>
      <w:pPr>
        <w:pStyle w:val="BodyText"/>
      </w:pPr>
      <w:r>
        <w:t xml:space="preserve">You will select 3–4 analytical tools yourself from across Sessions 1–5. Hall’s three orders of policy change, veto-player theory, and Cairney’s three combination strategies (recapped below) are the session’s core anchors — draw on these plus whatever else from Sessions 1–5 makes the sharpest claims about your case.</w:t>
      </w:r>
    </w:p>
    <w:bookmarkEnd w:id="27"/>
    <w:bookmarkStart w:id="28" w:name="requirements-1"/>
    <w:p>
      <w:pPr>
        <w:pStyle w:val="Heading3"/>
      </w:pPr>
      <w:r>
        <w:t xml:space="preserve">Requirements</w:t>
      </w:r>
    </w:p>
    <w:p>
      <w:pPr>
        <w:pStyle w:val="Compact"/>
        <w:numPr>
          <w:ilvl w:val="0"/>
          <w:numId w:val="1007"/>
        </w:numPr>
      </w:pPr>
      <w:r>
        <w:t xml:space="preserve">select 3–4 frameworks deliberately,</w:t>
      </w:r>
    </w:p>
    <w:p>
      <w:pPr>
        <w:pStyle w:val="Compact"/>
        <w:numPr>
          <w:ilvl w:val="0"/>
          <w:numId w:val="1007"/>
        </w:numPr>
      </w:pPr>
      <w:r>
        <w:t xml:space="preserve">make each framework produce a specific, defensible claim about the case — not name-dropping,</w:t>
      </w:r>
    </w:p>
    <w:p>
      <w:pPr>
        <w:pStyle w:val="Compact"/>
        <w:numPr>
          <w:ilvl w:val="0"/>
          <w:numId w:val="1007"/>
        </w:numPr>
      </w:pPr>
      <w:r>
        <w:t xml:space="preserve">identify what each framework misses,</w:t>
      </w:r>
    </w:p>
    <w:p>
      <w:pPr>
        <w:pStyle w:val="Compact"/>
        <w:numPr>
          <w:ilvl w:val="0"/>
          <w:numId w:val="1007"/>
        </w:numPr>
      </w:pPr>
      <w:r>
        <w:t xml:space="preserve">describe what the multi-framework integration adds that no single framework would, and</w:t>
      </w:r>
    </w:p>
    <w:p>
      <w:pPr>
        <w:pStyle w:val="Compact"/>
        <w:numPr>
          <w:ilvl w:val="0"/>
          <w:numId w:val="1007"/>
        </w:numPr>
      </w:pPr>
      <w:r>
        <w:t xml:space="preserve">close with a Cairney reflection on which combination strategy (synthesis, complementary, or contradictory) fits.</w:t>
      </w:r>
    </w:p>
    <w:p>
      <w:pPr>
        <w:pStyle w:val="FirstParagraph"/>
      </w:pPr>
      <w:r>
        <w:t xml:space="preserve">Note: these cases are deliberately under-determined. There is no single correct verdict — you will be assessed on the strength of the reasoning chain (framework selection → deployment claims → what each misses → integration → Cairney reflection), not on which verdict you reach.</w:t>
      </w:r>
    </w:p>
    <w:bookmarkEnd w:id="28"/>
    <w:bookmarkStart w:id="29" w:name="tool-summary-1"/>
    <w:p>
      <w:pPr>
        <w:pStyle w:val="Heading3"/>
      </w:pPr>
      <w:r>
        <w:t xml:space="preserve">Tool summary</w:t>
      </w:r>
    </w:p>
    <w:p>
      <w:pPr>
        <w:pStyle w:val="FirstParagraph"/>
      </w:pPr>
      <w:r>
        <w:rPr>
          <w:b/>
          <w:bCs/>
        </w:rPr>
        <w:t xml:space="preserve">Hall’s three orders of policy change (Hall 1993).</w:t>
      </w:r>
      <w:r>
        <w:t xml:space="preserve"> </w:t>
      </w:r>
      <w:r>
        <w:t xml:space="preserve">Ask which order of change you’re looking at.</w:t>
      </w:r>
    </w:p>
    <w:p>
      <w:pPr>
        <w:pStyle w:val="Compact"/>
        <w:numPr>
          <w:ilvl w:val="0"/>
          <w:numId w:val="1008"/>
        </w:numPr>
      </w:pPr>
      <w:r>
        <w:t xml:space="preserve">First order — adjusting the settings of existing policy instruments.</w:t>
      </w:r>
    </w:p>
    <w:p>
      <w:pPr>
        <w:pStyle w:val="Compact"/>
        <w:numPr>
          <w:ilvl w:val="0"/>
          <w:numId w:val="1008"/>
        </w:numPr>
      </w:pPr>
      <w:r>
        <w:t xml:space="preserve">Second order — changing the instruments themselves.</w:t>
      </w:r>
    </w:p>
    <w:p>
      <w:pPr>
        <w:pStyle w:val="Compact"/>
        <w:numPr>
          <w:ilvl w:val="0"/>
          <w:numId w:val="1008"/>
        </w:numPr>
      </w:pPr>
      <w:r>
        <w:t xml:space="preserve">Third order — shifting the overarching paradigm: goals, concepts, the interpretive frame.</w:t>
      </w:r>
    </w:p>
    <w:p>
      <w:pPr>
        <w:pStyle w:val="FirstParagraph"/>
      </w:pPr>
      <w:r>
        <w:rPr>
          <w:b/>
          <w:bCs/>
        </w:rPr>
        <w:t xml:space="preserve">Veto-player theory (Tsebelis 2002).</w:t>
      </w:r>
      <w:r>
        <w:t xml:space="preserve"> </w:t>
      </w:r>
      <w:r>
        <w:t xml:space="preserve">Ask how many actors must agree to change the status quo, and how ideologically distant they are.</w:t>
      </w:r>
    </w:p>
    <w:p>
      <w:pPr>
        <w:pStyle w:val="Compact"/>
        <w:numPr>
          <w:ilvl w:val="0"/>
          <w:numId w:val="1009"/>
        </w:numPr>
      </w:pPr>
      <w:r>
        <w:t xml:space="preserve">Institutional veto players are specified by the constitution; partisan veto players by the political game (e.g. coalition parties).</w:t>
      </w:r>
    </w:p>
    <w:p>
      <w:pPr>
        <w:pStyle w:val="Compact"/>
        <w:numPr>
          <w:ilvl w:val="0"/>
          <w:numId w:val="1009"/>
        </w:numPr>
      </w:pPr>
      <w:r>
        <w:t xml:space="preserve">The winset of the status quo — the set of policies that could replace it — shrinks as veto-player count, ideological distance, and internal cohesion grow.</w:t>
      </w:r>
    </w:p>
    <w:p>
      <w:pPr>
        <w:pStyle w:val="FirstParagraph"/>
      </w:pPr>
      <w:r>
        <w:rPr>
          <w:b/>
          <w:bCs/>
        </w:rPr>
        <w:t xml:space="preserve">Cairney’s three combination strategies (Cairney 2013).</w:t>
      </w:r>
      <w:r>
        <w:t xml:space="preserve"> </w:t>
      </w:r>
      <w:r>
        <w:t xml:space="preserve">Once you’ve deployed your frameworks, decide how they fit together.</w:t>
      </w:r>
    </w:p>
    <w:p>
      <w:pPr>
        <w:pStyle w:val="Compact"/>
        <w:numPr>
          <w:ilvl w:val="0"/>
          <w:numId w:val="1010"/>
        </w:numPr>
      </w:pPr>
      <w:r>
        <w:t xml:space="preserve">Synthesis — build a single integrated theory drawing on multiple frameworks. Demanding; rare.</w:t>
      </w:r>
    </w:p>
    <w:p>
      <w:pPr>
        <w:pStyle w:val="Compact"/>
        <w:numPr>
          <w:ilvl w:val="0"/>
          <w:numId w:val="1010"/>
        </w:numPr>
      </w:pPr>
      <w:r>
        <w:t xml:space="preserve">Complementary — use different frameworks for different aspects of the case. Most common.</w:t>
      </w:r>
    </w:p>
    <w:p>
      <w:pPr>
        <w:pStyle w:val="Compact"/>
        <w:numPr>
          <w:ilvl w:val="0"/>
          <w:numId w:val="1010"/>
        </w:numPr>
      </w:pPr>
      <w:r>
        <w:t xml:space="preserve">Contradictory — compare what each framework says; choose via a scientific-principles</w:t>
      </w:r>
      <w:r>
        <w:t xml:space="preserve"> </w:t>
      </w:r>
      <w:r>
        <w:t xml:space="preserve">“</w:t>
      </w:r>
      <w:r>
        <w:t xml:space="preserve">shootout.</w:t>
      </w:r>
      <w:r>
        <w:t xml:space="preserve">”</w:t>
      </w:r>
    </w:p>
    <w:bookmarkEnd w:id="29"/>
    <w:bookmarkStart w:id="30" w:name="case-specifics-from-the-case-pack-1"/>
    <w:p>
      <w:pPr>
        <w:pStyle w:val="Heading3"/>
      </w:pPr>
      <w:r>
        <w:t xml:space="preserve">Case specifics (from the case pack)</w:t>
      </w:r>
    </w:p>
    <w:p>
      <w:pPr>
        <w:pStyle w:val="FirstParagraph"/>
      </w:pPr>
      <w:r>
        <w:t xml:space="preserve">Same archetype as the UK case, different political route. The Australian Labor Party governments under Hawke (1983–1991) and Keating (1991–1996) implemented a sustained programme of market-liberal reform: financial deregulation, tariff reduction, accord-based wages policy, retirement-savings reform, competition-policy modernisation. The paradigm shift moved from a</w:t>
      </w:r>
      <w:r>
        <w:t xml:space="preserve"> </w:t>
      </w:r>
      <w:r>
        <w:t xml:space="preserve">“</w:t>
      </w:r>
      <w:r>
        <w:t xml:space="preserve">protected economy</w:t>
      </w:r>
      <w:r>
        <w:t xml:space="preserve">”</w:t>
      </w:r>
      <w:r>
        <w:t xml:space="preserve"> </w:t>
      </w:r>
      <w:r>
        <w:t xml:space="preserve">policy frame toward a</w:t>
      </w:r>
      <w:r>
        <w:t xml:space="preserve"> </w:t>
      </w:r>
      <w:r>
        <w:t xml:space="preserve">“</w:t>
      </w:r>
      <w:r>
        <w:t xml:space="preserve">competitive open economy</w:t>
      </w:r>
      <w:r>
        <w:t xml:space="preserve">”</w:t>
      </w:r>
      <w:r>
        <w:t xml:space="preserve"> </w:t>
      </w:r>
      <w:r>
        <w:t xml:space="preserve">frame — but executed through a left-of-centre Labor government, with significant union accommodation, rather than through a Tory programme.</w:t>
      </w:r>
    </w:p>
    <w:p>
      <w:pPr>
        <w:pStyle w:val="BodyText"/>
      </w:pPr>
      <w:r>
        <w:rPr>
          <w:b/>
          <w:bCs/>
        </w:rPr>
        <w:t xml:space="preserve">Case: the agency’s data</w:t>
      </w:r>
    </w:p>
    <w:p>
      <w:pPr>
        <w:pStyle w:val="Compact"/>
        <w:numPr>
          <w:ilvl w:val="0"/>
          <w:numId w:val="1011"/>
        </w:numPr>
      </w:pPr>
      <w:r>
        <w:t xml:space="preserve">Trigger conditions: stagflation; declining international competitiveness; balance-of-payments concerns; 1983 election.</w:t>
      </w:r>
    </w:p>
    <w:p>
      <w:pPr>
        <w:pStyle w:val="Compact"/>
        <w:numPr>
          <w:ilvl w:val="0"/>
          <w:numId w:val="1011"/>
        </w:numPr>
      </w:pPr>
      <w:r>
        <w:t xml:space="preserve">Policy stream pre-window: Treasury-led economic-reform proposals; trade-economist networks; bond-rating agencies’ pressure on the AAA rating.</w:t>
      </w:r>
    </w:p>
    <w:p>
      <w:pPr>
        <w:pStyle w:val="Compact"/>
        <w:numPr>
          <w:ilvl w:val="0"/>
          <w:numId w:val="1011"/>
        </w:numPr>
      </w:pPr>
      <w:r>
        <w:t xml:space="preserve">Political stream: Labor’s electoral coalition with unions; Hawke’s negotiated approach via the Accord.</w:t>
      </w:r>
    </w:p>
    <w:p>
      <w:pPr>
        <w:pStyle w:val="Compact"/>
        <w:numPr>
          <w:ilvl w:val="0"/>
          <w:numId w:val="1011"/>
        </w:numPr>
      </w:pPr>
      <w:r>
        <w:t xml:space="preserve">Reform sequence: 1983 financial-system deregulation (Campbell Committee); 1985–87 tariff reductions; 1986 Accord II; 1992 superannuation guarantee; 1995 competition policy.</w:t>
      </w:r>
    </w:p>
    <w:p>
      <w:pPr>
        <w:pStyle w:val="Compact"/>
        <w:numPr>
          <w:ilvl w:val="0"/>
          <w:numId w:val="1011"/>
        </w:numPr>
      </w:pPr>
      <w:r>
        <w:t xml:space="preserve">Coalition dynamics: reformist Treasury and Labor staff vs left-of-Labor and union scepticism; managed via Accord negotiations.</w:t>
      </w:r>
    </w:p>
    <w:p>
      <w:pPr>
        <w:pStyle w:val="Compact"/>
        <w:numPr>
          <w:ilvl w:val="0"/>
          <w:numId w:val="1011"/>
        </w:numPr>
      </w:pPr>
      <w:r>
        <w:t xml:space="preserve">Outcome: durable paradigm shift; subsequent maintenance under Howard (1996–2007) Liberal-National coalition; some retreat under recent Labor governments.</w:t>
      </w:r>
    </w:p>
    <w:bookmarkEnd w:id="30"/>
    <w:bookmarkStart w:id="31" w:name="X4cf3b874869529e6c61abdce607a1eefc2e0dc7"/>
    <w:p>
      <w:pPr>
        <w:pStyle w:val="Heading3"/>
      </w:pPr>
      <w:r>
        <w:t xml:space="preserve">Discussion questions from the case pack</w:t>
      </w:r>
    </w:p>
    <w:p>
      <w:pPr>
        <w:pStyle w:val="Compact"/>
        <w:numPr>
          <w:ilvl w:val="0"/>
          <w:numId w:val="1012"/>
        </w:numPr>
      </w:pPr>
      <w:r>
        <w:t xml:space="preserve">Apply the same framework toolkit here — what does the deployment look like for this case?</w:t>
      </w:r>
    </w:p>
    <w:p>
      <w:pPr>
        <w:pStyle w:val="Compact"/>
        <w:numPr>
          <w:ilvl w:val="0"/>
          <w:numId w:val="1012"/>
        </w:numPr>
      </w:pPr>
      <w:r>
        <w:t xml:space="preserve">In what sense is this the same archetype as the UK case, and where do the framework deployments diverge?</w:t>
      </w:r>
    </w:p>
    <w:p>
      <w:pPr>
        <w:pStyle w:val="Compact"/>
        <w:numPr>
          <w:ilvl w:val="0"/>
          <w:numId w:val="1012"/>
        </w:numPr>
      </w:pPr>
      <w:r>
        <w:t xml:space="preserve">Does the discursive-institutionalism reading differ for Labor-led liberalisation versus Tory-led liberalisation?</w:t>
      </w:r>
    </w:p>
    <w:p>
      <w:pPr>
        <w:pStyle w:val="Compact"/>
        <w:numPr>
          <w:ilvl w:val="0"/>
          <w:numId w:val="1012"/>
        </w:numPr>
      </w:pPr>
      <w:r>
        <w:t xml:space="preserve">Cairney reflection: compare to your paired UK group’s reflection — same combination strategy, or different?</w:t>
      </w:r>
    </w:p>
    <w:p>
      <w:r>
        <w:br w:type="page"/>
      </w:r>
    </w:p>
    <w:bookmarkEnd w:id="31"/>
    <w:bookmarkEnd w:id="32"/>
    <w:bookmarkEnd w:id="33"/>
    <w:bookmarkStart w:id="40" w:name="X9fb0041f5a43ff4abbb4d8a760d7d6d966ff018"/>
    <w:p>
      <w:pPr>
        <w:pStyle w:val="Heading1"/>
      </w:pPr>
      <w:r>
        <w:t xml:space="preserve">Integrating the Part-1 Toolkit — Worksheet</w:t>
      </w:r>
    </w:p>
    <w:bookmarkStart w:id="39" w:name="Xfd3d3fb44041d2b618853874582db73e274384f"/>
    <w:p>
      <w:pPr>
        <w:pStyle w:val="Heading2"/>
      </w:pPr>
      <w:r>
        <w:t xml:space="preserve">US Build Back Better → IRA, 2021–2022 — Veto-player and commitment pair</w:t>
      </w:r>
    </w:p>
    <w:p>
      <w:pPr>
        <w:pStyle w:val="FirstParagraph"/>
      </w:pPr>
      <w:r>
        <w:rPr>
          <w:i/>
          <w:iCs/>
        </w:rPr>
        <w:t xml:space="preserve">IR227 Seminar 5 — Group worksheet</w:t>
      </w:r>
    </w:p>
    <w:bookmarkStart w:id="34" w:name="task-2"/>
    <w:p>
      <w:pPr>
        <w:pStyle w:val="Heading3"/>
      </w:pPr>
      <w:r>
        <w:t xml:space="preserve">Task</w:t>
      </w:r>
    </w:p>
    <w:p>
      <w:pPr>
        <w:pStyle w:val="FirstParagraph"/>
      </w:pPr>
      <w:r>
        <w:t xml:space="preserve">Take your assigned policy episode and apply 3–4 frameworks from Sessions 1–5. For each, identify what it lights up and what it misses. Then reflect on which of Cairney’s combination strategies best fits your analysis.</w:t>
      </w:r>
    </w:p>
    <w:p>
      <w:pPr>
        <w:pStyle w:val="BodyText"/>
      </w:pPr>
      <w:r>
        <w:t xml:space="preserve">You will select 3–4 analytical tools yourself from across Sessions 1–5. Hall’s three orders of policy change, veto-player theory, and Cairney’s three combination strategies (recapped below) are the session’s core anchors — draw on these plus whatever else from Sessions 1–5 makes the sharpest claims about your case.</w:t>
      </w:r>
    </w:p>
    <w:bookmarkEnd w:id="34"/>
    <w:bookmarkStart w:id="35" w:name="requirements-2"/>
    <w:p>
      <w:pPr>
        <w:pStyle w:val="Heading3"/>
      </w:pPr>
      <w:r>
        <w:t xml:space="preserve">Requirements</w:t>
      </w:r>
    </w:p>
    <w:p>
      <w:pPr>
        <w:pStyle w:val="Compact"/>
        <w:numPr>
          <w:ilvl w:val="0"/>
          <w:numId w:val="1013"/>
        </w:numPr>
      </w:pPr>
      <w:r>
        <w:t xml:space="preserve">select 3–4 frameworks deliberately,</w:t>
      </w:r>
    </w:p>
    <w:p>
      <w:pPr>
        <w:pStyle w:val="Compact"/>
        <w:numPr>
          <w:ilvl w:val="0"/>
          <w:numId w:val="1013"/>
        </w:numPr>
      </w:pPr>
      <w:r>
        <w:t xml:space="preserve">make each framework produce a specific, defensible claim about the case — not name-dropping,</w:t>
      </w:r>
    </w:p>
    <w:p>
      <w:pPr>
        <w:pStyle w:val="Compact"/>
        <w:numPr>
          <w:ilvl w:val="0"/>
          <w:numId w:val="1013"/>
        </w:numPr>
      </w:pPr>
      <w:r>
        <w:t xml:space="preserve">identify what each framework misses,</w:t>
      </w:r>
    </w:p>
    <w:p>
      <w:pPr>
        <w:pStyle w:val="Compact"/>
        <w:numPr>
          <w:ilvl w:val="0"/>
          <w:numId w:val="1013"/>
        </w:numPr>
      </w:pPr>
      <w:r>
        <w:t xml:space="preserve">describe what the multi-framework integration adds that no single framework would, and</w:t>
      </w:r>
    </w:p>
    <w:p>
      <w:pPr>
        <w:pStyle w:val="Compact"/>
        <w:numPr>
          <w:ilvl w:val="0"/>
          <w:numId w:val="1013"/>
        </w:numPr>
      </w:pPr>
      <w:r>
        <w:t xml:space="preserve">close with a Cairney reflection on which combination strategy (synthesis, complementary, or contradictory) fits.</w:t>
      </w:r>
    </w:p>
    <w:p>
      <w:pPr>
        <w:pStyle w:val="FirstParagraph"/>
      </w:pPr>
      <w:r>
        <w:t xml:space="preserve">Note: these cases are deliberately under-determined. There is no single correct verdict — you will be assessed on the strength of the reasoning chain (framework selection → deployment claims → what each misses → integration → Cairney reflection), not on which verdict you reach.</w:t>
      </w:r>
    </w:p>
    <w:bookmarkEnd w:id="35"/>
    <w:bookmarkStart w:id="36" w:name="tool-summary-2"/>
    <w:p>
      <w:pPr>
        <w:pStyle w:val="Heading3"/>
      </w:pPr>
      <w:r>
        <w:t xml:space="preserve">Tool summary</w:t>
      </w:r>
    </w:p>
    <w:p>
      <w:pPr>
        <w:pStyle w:val="FirstParagraph"/>
      </w:pPr>
      <w:r>
        <w:rPr>
          <w:b/>
          <w:bCs/>
        </w:rPr>
        <w:t xml:space="preserve">Hall’s three orders of policy change (Hall 1993).</w:t>
      </w:r>
      <w:r>
        <w:t xml:space="preserve"> </w:t>
      </w:r>
      <w:r>
        <w:t xml:space="preserve">Ask which order of change you’re looking at.</w:t>
      </w:r>
    </w:p>
    <w:p>
      <w:pPr>
        <w:pStyle w:val="Compact"/>
        <w:numPr>
          <w:ilvl w:val="0"/>
          <w:numId w:val="1014"/>
        </w:numPr>
      </w:pPr>
      <w:r>
        <w:t xml:space="preserve">First order — adjusting the settings of existing policy instruments.</w:t>
      </w:r>
    </w:p>
    <w:p>
      <w:pPr>
        <w:pStyle w:val="Compact"/>
        <w:numPr>
          <w:ilvl w:val="0"/>
          <w:numId w:val="1014"/>
        </w:numPr>
      </w:pPr>
      <w:r>
        <w:t xml:space="preserve">Second order — changing the instruments themselves.</w:t>
      </w:r>
    </w:p>
    <w:p>
      <w:pPr>
        <w:pStyle w:val="Compact"/>
        <w:numPr>
          <w:ilvl w:val="0"/>
          <w:numId w:val="1014"/>
        </w:numPr>
      </w:pPr>
      <w:r>
        <w:t xml:space="preserve">Third order — shifting the overarching paradigm: goals, concepts, the interpretive frame.</w:t>
      </w:r>
    </w:p>
    <w:p>
      <w:pPr>
        <w:pStyle w:val="FirstParagraph"/>
      </w:pPr>
      <w:r>
        <w:rPr>
          <w:b/>
          <w:bCs/>
        </w:rPr>
        <w:t xml:space="preserve">Veto-player theory (Tsebelis 2002).</w:t>
      </w:r>
      <w:r>
        <w:t xml:space="preserve"> </w:t>
      </w:r>
      <w:r>
        <w:t xml:space="preserve">Ask how many actors must agree to change the status quo, and how ideologically distant they are.</w:t>
      </w:r>
    </w:p>
    <w:p>
      <w:pPr>
        <w:pStyle w:val="Compact"/>
        <w:numPr>
          <w:ilvl w:val="0"/>
          <w:numId w:val="1015"/>
        </w:numPr>
      </w:pPr>
      <w:r>
        <w:t xml:space="preserve">Institutional veto players are specified by the constitution; partisan veto players by the political game (e.g. coalition parties).</w:t>
      </w:r>
    </w:p>
    <w:p>
      <w:pPr>
        <w:pStyle w:val="Compact"/>
        <w:numPr>
          <w:ilvl w:val="0"/>
          <w:numId w:val="1015"/>
        </w:numPr>
      </w:pPr>
      <w:r>
        <w:t xml:space="preserve">The winset of the status quo — the set of policies that could replace it — shrinks as veto-player count, ideological distance, and internal cohesion grow.</w:t>
      </w:r>
    </w:p>
    <w:p>
      <w:pPr>
        <w:pStyle w:val="FirstParagraph"/>
      </w:pPr>
      <w:r>
        <w:rPr>
          <w:b/>
          <w:bCs/>
        </w:rPr>
        <w:t xml:space="preserve">Cairney’s three combination strategies (Cairney 2013).</w:t>
      </w:r>
      <w:r>
        <w:t xml:space="preserve"> </w:t>
      </w:r>
      <w:r>
        <w:t xml:space="preserve">Once you’ve deployed your frameworks, decide how they fit together.</w:t>
      </w:r>
    </w:p>
    <w:p>
      <w:pPr>
        <w:pStyle w:val="Compact"/>
        <w:numPr>
          <w:ilvl w:val="0"/>
          <w:numId w:val="1016"/>
        </w:numPr>
      </w:pPr>
      <w:r>
        <w:t xml:space="preserve">Synthesis — build a single integrated theory drawing on multiple frameworks. Demanding; rare.</w:t>
      </w:r>
    </w:p>
    <w:p>
      <w:pPr>
        <w:pStyle w:val="Compact"/>
        <w:numPr>
          <w:ilvl w:val="0"/>
          <w:numId w:val="1016"/>
        </w:numPr>
      </w:pPr>
      <w:r>
        <w:t xml:space="preserve">Complementary — use different frameworks for different aspects of the case. Most common.</w:t>
      </w:r>
    </w:p>
    <w:p>
      <w:pPr>
        <w:pStyle w:val="Compact"/>
        <w:numPr>
          <w:ilvl w:val="0"/>
          <w:numId w:val="1016"/>
        </w:numPr>
      </w:pPr>
      <w:r>
        <w:t xml:space="preserve">Contradictory — compare what each framework says; choose via a scientific-principles</w:t>
      </w:r>
      <w:r>
        <w:t xml:space="preserve"> </w:t>
      </w:r>
      <w:r>
        <w:t xml:space="preserve">“</w:t>
      </w:r>
      <w:r>
        <w:t xml:space="preserve">shootout.</w:t>
      </w:r>
      <w:r>
        <w:t xml:space="preserve">”</w:t>
      </w:r>
    </w:p>
    <w:bookmarkEnd w:id="36"/>
    <w:bookmarkStart w:id="37" w:name="case-specifics-from-the-case-pack-2"/>
    <w:p>
      <w:pPr>
        <w:pStyle w:val="Heading3"/>
      </w:pPr>
      <w:r>
        <w:t xml:space="preserve">Case specifics (from the case pack)</w:t>
      </w:r>
    </w:p>
    <w:p>
      <w:pPr>
        <w:pStyle w:val="FirstParagraph"/>
      </w:pPr>
      <w:r>
        <w:t xml:space="preserve">Build Back Better (BBB) was the Biden administration’s flagship climate-and-social-spending package, introduced in 2021 with an estimated US$3.5 trillion cost. After year-long negotiations within the Democratic Senate caucus, BBB collapsed in late 2021 when Senator Joe Manchin withdrew his support. In late July 2022, after a year of supposed failure, Manchin and Senate Majority Leader Schumer announced a bilateral agreement that within weeks became the Inflation Reduction Act — a substantially smaller bill but with major climate provisions. The episode is rich for veto-player and commitment-problem analysis.</w:t>
      </w:r>
    </w:p>
    <w:p>
      <w:pPr>
        <w:pStyle w:val="BodyText"/>
      </w:pPr>
      <w:r>
        <w:rPr>
          <w:b/>
          <w:bCs/>
        </w:rPr>
        <w:t xml:space="preserve">Case: the agency’s data</w:t>
      </w:r>
    </w:p>
    <w:p>
      <w:pPr>
        <w:pStyle w:val="Compact"/>
        <w:numPr>
          <w:ilvl w:val="0"/>
          <w:numId w:val="1017"/>
        </w:numPr>
      </w:pPr>
      <w:r>
        <w:t xml:space="preserve">Trigger conditions: 2020 election Democratic trifecta; 2021 budget reconciliation calendar.</w:t>
      </w:r>
    </w:p>
    <w:p>
      <w:pPr>
        <w:pStyle w:val="Compact"/>
        <w:numPr>
          <w:ilvl w:val="0"/>
          <w:numId w:val="1017"/>
        </w:numPr>
      </w:pPr>
      <w:r>
        <w:t xml:space="preserve">Veto-player structure: 50-50 Senate; Manchin and Sinema as decisive within Democratic caucus; House thin majority.</w:t>
      </w:r>
    </w:p>
    <w:p>
      <w:pPr>
        <w:pStyle w:val="Compact"/>
        <w:numPr>
          <w:ilvl w:val="0"/>
          <w:numId w:val="1017"/>
        </w:numPr>
      </w:pPr>
      <w:r>
        <w:t xml:space="preserve">Commitment problem: climate policy required compensating mechanisms for fossil-fuel-region constituencies; trust deficit on whether compensation would be honoured.</w:t>
      </w:r>
    </w:p>
    <w:p>
      <w:pPr>
        <w:pStyle w:val="Compact"/>
        <w:numPr>
          <w:ilvl w:val="0"/>
          <w:numId w:val="1017"/>
        </w:numPr>
      </w:pPr>
      <w:r>
        <w:t xml:space="preserve">Policy stream: long-developed climate-investment proposals (NRDC, EDF, Brookings, etc.).</w:t>
      </w:r>
    </w:p>
    <w:p>
      <w:pPr>
        <w:pStyle w:val="Compact"/>
        <w:numPr>
          <w:ilvl w:val="0"/>
          <w:numId w:val="1017"/>
        </w:numPr>
      </w:pPr>
      <w:r>
        <w:t xml:space="preserve">Reform window: late-July 2022 Manchin-Schumer agreement; signed mid-August 2022.</w:t>
      </w:r>
    </w:p>
    <w:p>
      <w:pPr>
        <w:pStyle w:val="Compact"/>
        <w:numPr>
          <w:ilvl w:val="0"/>
          <w:numId w:val="1017"/>
        </w:numPr>
      </w:pPr>
      <w:r>
        <w:t xml:space="preserve">Outcome: clean coupling at the legislative moment; IRA passed with major climate provisions including 25C/25D heat-pump credits, hydrogen, EV manufacturing supports, transmission investments.</w:t>
      </w:r>
    </w:p>
    <w:p>
      <w:pPr>
        <w:pStyle w:val="Compact"/>
        <w:numPr>
          <w:ilvl w:val="0"/>
          <w:numId w:val="1017"/>
        </w:numPr>
      </w:pPr>
      <w:r>
        <w:t xml:space="preserve">Subsequent (2025): partial reversal of some IRA provisions under post-2024-election administration.</w:t>
      </w:r>
    </w:p>
    <w:bookmarkEnd w:id="37"/>
    <w:bookmarkStart w:id="38" w:name="Xabfd89b0020d7dd201e80d11d06c98b246a20ef"/>
    <w:p>
      <w:pPr>
        <w:pStyle w:val="Heading3"/>
      </w:pPr>
      <w:r>
        <w:t xml:space="preserve">Discussion questions from the case pack</w:t>
      </w:r>
    </w:p>
    <w:p>
      <w:pPr>
        <w:pStyle w:val="Compact"/>
        <w:numPr>
          <w:ilvl w:val="0"/>
          <w:numId w:val="1018"/>
        </w:numPr>
      </w:pPr>
      <w:r>
        <w:t xml:space="preserve">Which 3–4 frameworks fit best? Veto-player analysis is an obvious anchor — what else might you add: dynamic-inconsistency analysis on the commitment problem with fossil-region constituencies, MSF on the late-July 2022 coupling moment, or path dependency on the instrument design (tax credits rather than carbon pricing)?</w:t>
      </w:r>
    </w:p>
    <w:p>
      <w:pPr>
        <w:pStyle w:val="Compact"/>
        <w:numPr>
          <w:ilvl w:val="0"/>
          <w:numId w:val="1018"/>
        </w:numPr>
      </w:pPr>
      <w:r>
        <w:t xml:space="preserve">Does any framework predict the 2025 partial reversal of IRA provisions?</w:t>
      </w:r>
    </w:p>
    <w:p>
      <w:pPr>
        <w:pStyle w:val="Compact"/>
        <w:numPr>
          <w:ilvl w:val="0"/>
          <w:numId w:val="1018"/>
        </w:numPr>
      </w:pPr>
      <w:r>
        <w:t xml:space="preserve">What does the integration add that no single framework would?</w:t>
      </w:r>
    </w:p>
    <w:p>
      <w:pPr>
        <w:pStyle w:val="Compact"/>
        <w:numPr>
          <w:ilvl w:val="0"/>
          <w:numId w:val="1018"/>
        </w:numPr>
      </w:pPr>
      <w:r>
        <w:t xml:space="preserve">Cairney reflection: which combination strategy fits your deployment, and why?</w:t>
      </w:r>
    </w:p>
    <w:p>
      <w:r>
        <w:br w:type="page"/>
      </w:r>
    </w:p>
    <w:bookmarkEnd w:id="38"/>
    <w:bookmarkEnd w:id="39"/>
    <w:bookmarkEnd w:id="40"/>
    <w:bookmarkStart w:id="47" w:name="X0c90c9db8f587de155be8a7e2cce59058ec96b8"/>
    <w:p>
      <w:pPr>
        <w:pStyle w:val="Heading1"/>
      </w:pPr>
      <w:r>
        <w:t xml:space="preserve">Integrating the Part-1 Toolkit — Worksheet</w:t>
      </w:r>
    </w:p>
    <w:bookmarkStart w:id="46" w:name="Xd90955e485cf692851440e88af2b45e2d43a6ff"/>
    <w:p>
      <w:pPr>
        <w:pStyle w:val="Heading2"/>
      </w:pPr>
      <w:r>
        <w:t xml:space="preserve">EU Green Deal, 2019–2025 — Veto-player and commitment pair</w:t>
      </w:r>
    </w:p>
    <w:p>
      <w:pPr>
        <w:pStyle w:val="FirstParagraph"/>
      </w:pPr>
      <w:r>
        <w:rPr>
          <w:i/>
          <w:iCs/>
        </w:rPr>
        <w:t xml:space="preserve">IR227 Seminar 5 — Group worksheet</w:t>
      </w:r>
    </w:p>
    <w:bookmarkStart w:id="41" w:name="task-3"/>
    <w:p>
      <w:pPr>
        <w:pStyle w:val="Heading3"/>
      </w:pPr>
      <w:r>
        <w:t xml:space="preserve">Task</w:t>
      </w:r>
    </w:p>
    <w:p>
      <w:pPr>
        <w:pStyle w:val="FirstParagraph"/>
      </w:pPr>
      <w:r>
        <w:t xml:space="preserve">Take your assigned policy episode and apply 3–4 frameworks from Sessions 1–5. For each, identify what it lights up and what it misses. Then reflect on which of Cairney’s combination strategies best fits your analysis.</w:t>
      </w:r>
    </w:p>
    <w:p>
      <w:pPr>
        <w:pStyle w:val="BodyText"/>
      </w:pPr>
      <w:r>
        <w:t xml:space="preserve">You will select 3–4 analytical tools yourself from across Sessions 1–5. Hall’s three orders of policy change, veto-player theory, and Cairney’s three combination strategies (recapped below) are the session’s core anchors — draw on these plus whatever else from Sessions 1–5 makes the sharpest claims about your case.</w:t>
      </w:r>
    </w:p>
    <w:bookmarkEnd w:id="41"/>
    <w:bookmarkStart w:id="42" w:name="requirements-3"/>
    <w:p>
      <w:pPr>
        <w:pStyle w:val="Heading3"/>
      </w:pPr>
      <w:r>
        <w:t xml:space="preserve">Requirements</w:t>
      </w:r>
    </w:p>
    <w:p>
      <w:pPr>
        <w:pStyle w:val="Compact"/>
        <w:numPr>
          <w:ilvl w:val="0"/>
          <w:numId w:val="1019"/>
        </w:numPr>
      </w:pPr>
      <w:r>
        <w:t xml:space="preserve">select 3–4 frameworks deliberately,</w:t>
      </w:r>
    </w:p>
    <w:p>
      <w:pPr>
        <w:pStyle w:val="Compact"/>
        <w:numPr>
          <w:ilvl w:val="0"/>
          <w:numId w:val="1019"/>
        </w:numPr>
      </w:pPr>
      <w:r>
        <w:t xml:space="preserve">make each framework produce a specific, defensible claim about the case — not name-dropping,</w:t>
      </w:r>
    </w:p>
    <w:p>
      <w:pPr>
        <w:pStyle w:val="Compact"/>
        <w:numPr>
          <w:ilvl w:val="0"/>
          <w:numId w:val="1019"/>
        </w:numPr>
      </w:pPr>
      <w:r>
        <w:t xml:space="preserve">identify what each framework misses,</w:t>
      </w:r>
    </w:p>
    <w:p>
      <w:pPr>
        <w:pStyle w:val="Compact"/>
        <w:numPr>
          <w:ilvl w:val="0"/>
          <w:numId w:val="1019"/>
        </w:numPr>
      </w:pPr>
      <w:r>
        <w:t xml:space="preserve">describe what the multi-framework integration adds that no single framework would, and</w:t>
      </w:r>
    </w:p>
    <w:p>
      <w:pPr>
        <w:pStyle w:val="Compact"/>
        <w:numPr>
          <w:ilvl w:val="0"/>
          <w:numId w:val="1019"/>
        </w:numPr>
      </w:pPr>
      <w:r>
        <w:t xml:space="preserve">close with a Cairney reflection on which combination strategy (synthesis, complementary, or contradictory) fits.</w:t>
      </w:r>
    </w:p>
    <w:p>
      <w:pPr>
        <w:pStyle w:val="FirstParagraph"/>
      </w:pPr>
      <w:r>
        <w:t xml:space="preserve">Note: these cases are deliberately under-determined. There is no single correct verdict — you will be assessed on the strength of the reasoning chain (framework selection → deployment claims → what each misses → integration → Cairney reflection), not on which verdict you reach.</w:t>
      </w:r>
    </w:p>
    <w:bookmarkEnd w:id="42"/>
    <w:bookmarkStart w:id="43" w:name="tool-summary-3"/>
    <w:p>
      <w:pPr>
        <w:pStyle w:val="Heading3"/>
      </w:pPr>
      <w:r>
        <w:t xml:space="preserve">Tool summary</w:t>
      </w:r>
    </w:p>
    <w:p>
      <w:pPr>
        <w:pStyle w:val="FirstParagraph"/>
      </w:pPr>
      <w:r>
        <w:rPr>
          <w:b/>
          <w:bCs/>
        </w:rPr>
        <w:t xml:space="preserve">Hall’s three orders of policy change (Hall 1993).</w:t>
      </w:r>
      <w:r>
        <w:t xml:space="preserve"> </w:t>
      </w:r>
      <w:r>
        <w:t xml:space="preserve">Ask which order of change you’re looking at.</w:t>
      </w:r>
    </w:p>
    <w:p>
      <w:pPr>
        <w:pStyle w:val="Compact"/>
        <w:numPr>
          <w:ilvl w:val="0"/>
          <w:numId w:val="1020"/>
        </w:numPr>
      </w:pPr>
      <w:r>
        <w:t xml:space="preserve">First order — adjusting the settings of existing policy instruments.</w:t>
      </w:r>
    </w:p>
    <w:p>
      <w:pPr>
        <w:pStyle w:val="Compact"/>
        <w:numPr>
          <w:ilvl w:val="0"/>
          <w:numId w:val="1020"/>
        </w:numPr>
      </w:pPr>
      <w:r>
        <w:t xml:space="preserve">Second order — changing the instruments themselves.</w:t>
      </w:r>
    </w:p>
    <w:p>
      <w:pPr>
        <w:pStyle w:val="Compact"/>
        <w:numPr>
          <w:ilvl w:val="0"/>
          <w:numId w:val="1020"/>
        </w:numPr>
      </w:pPr>
      <w:r>
        <w:t xml:space="preserve">Third order — shifting the overarching paradigm: goals, concepts, the interpretive frame.</w:t>
      </w:r>
    </w:p>
    <w:p>
      <w:pPr>
        <w:pStyle w:val="FirstParagraph"/>
      </w:pPr>
      <w:r>
        <w:rPr>
          <w:b/>
          <w:bCs/>
        </w:rPr>
        <w:t xml:space="preserve">Veto-player theory (Tsebelis 2002).</w:t>
      </w:r>
      <w:r>
        <w:t xml:space="preserve"> </w:t>
      </w:r>
      <w:r>
        <w:t xml:space="preserve">Ask how many actors must agree to change the status quo, and how ideologically distant they are.</w:t>
      </w:r>
    </w:p>
    <w:p>
      <w:pPr>
        <w:pStyle w:val="Compact"/>
        <w:numPr>
          <w:ilvl w:val="0"/>
          <w:numId w:val="1021"/>
        </w:numPr>
      </w:pPr>
      <w:r>
        <w:t xml:space="preserve">Institutional veto players are specified by the constitution; partisan veto players by the political game (e.g. coalition parties).</w:t>
      </w:r>
    </w:p>
    <w:p>
      <w:pPr>
        <w:pStyle w:val="Compact"/>
        <w:numPr>
          <w:ilvl w:val="0"/>
          <w:numId w:val="1021"/>
        </w:numPr>
      </w:pPr>
      <w:r>
        <w:t xml:space="preserve">The winset of the status quo — the set of policies that could replace it — shrinks as veto-player count, ideological distance, and internal cohesion grow.</w:t>
      </w:r>
    </w:p>
    <w:p>
      <w:pPr>
        <w:pStyle w:val="FirstParagraph"/>
      </w:pPr>
      <w:r>
        <w:rPr>
          <w:b/>
          <w:bCs/>
        </w:rPr>
        <w:t xml:space="preserve">Cairney’s three combination strategies (Cairney 2013).</w:t>
      </w:r>
      <w:r>
        <w:t xml:space="preserve"> </w:t>
      </w:r>
      <w:r>
        <w:t xml:space="preserve">Once you’ve deployed your frameworks, decide how they fit together.</w:t>
      </w:r>
    </w:p>
    <w:p>
      <w:pPr>
        <w:pStyle w:val="Compact"/>
        <w:numPr>
          <w:ilvl w:val="0"/>
          <w:numId w:val="1022"/>
        </w:numPr>
      </w:pPr>
      <w:r>
        <w:t xml:space="preserve">Synthesis — build a single integrated theory drawing on multiple frameworks. Demanding; rare.</w:t>
      </w:r>
    </w:p>
    <w:p>
      <w:pPr>
        <w:pStyle w:val="Compact"/>
        <w:numPr>
          <w:ilvl w:val="0"/>
          <w:numId w:val="1022"/>
        </w:numPr>
      </w:pPr>
      <w:r>
        <w:t xml:space="preserve">Complementary — use different frameworks for different aspects of the case. Most common.</w:t>
      </w:r>
    </w:p>
    <w:p>
      <w:pPr>
        <w:pStyle w:val="Compact"/>
        <w:numPr>
          <w:ilvl w:val="0"/>
          <w:numId w:val="1022"/>
        </w:numPr>
      </w:pPr>
      <w:r>
        <w:t xml:space="preserve">Contradictory — compare what each framework says; choose via a scientific-principles</w:t>
      </w:r>
      <w:r>
        <w:t xml:space="preserve"> </w:t>
      </w:r>
      <w:r>
        <w:t xml:space="preserve">“</w:t>
      </w:r>
      <w:r>
        <w:t xml:space="preserve">shootout.</w:t>
      </w:r>
      <w:r>
        <w:t xml:space="preserve">”</w:t>
      </w:r>
    </w:p>
    <w:bookmarkEnd w:id="43"/>
    <w:bookmarkStart w:id="44" w:name="case-specifics-from-the-case-pack-3"/>
    <w:p>
      <w:pPr>
        <w:pStyle w:val="Heading3"/>
      </w:pPr>
      <w:r>
        <w:t xml:space="preserve">Case specifics (from the case pack)</w:t>
      </w:r>
    </w:p>
    <w:p>
      <w:pPr>
        <w:pStyle w:val="FirstParagraph"/>
      </w:pPr>
      <w:r>
        <w:t xml:space="preserve">The European Green Deal, introduced in 2019, has been the EU’s flagship climate policy programme. Its implementation has involved the Council, the Commission, Parliament, member-state governments, and a network of EU-level agencies. The 2022 Russia-Ukraine war was a substantial landscape pressure that accelerated some elements (REPowerEU) while complicating others (energy-intensive industry, agricultural reforms). The 2024 European Parliament election produced a more sceptical political stream that has weakened several Green Deal provisions in 2024–2025. The episode is the EU complement to the US IRA case — climate policy through a very different veto-player structure.</w:t>
      </w:r>
    </w:p>
    <w:p>
      <w:pPr>
        <w:pStyle w:val="BodyText"/>
      </w:pPr>
      <w:r>
        <w:rPr>
          <w:b/>
          <w:bCs/>
        </w:rPr>
        <w:t xml:space="preserve">Case: the agency’s data</w:t>
      </w:r>
    </w:p>
    <w:p>
      <w:pPr>
        <w:pStyle w:val="Compact"/>
        <w:numPr>
          <w:ilvl w:val="0"/>
          <w:numId w:val="1023"/>
        </w:numPr>
      </w:pPr>
      <w:r>
        <w:t xml:space="preserve">Trigger conditions: 2019 European elections; 2018–19 climate movement; Commission strategic agenda.</w:t>
      </w:r>
    </w:p>
    <w:p>
      <w:pPr>
        <w:pStyle w:val="Compact"/>
        <w:numPr>
          <w:ilvl w:val="0"/>
          <w:numId w:val="1023"/>
        </w:numPr>
      </w:pPr>
      <w:r>
        <w:t xml:space="preserve">Veto-player structure: Council qualified-majority on most provisions, unanimity on some; European Parliament; member-state implementation; Commission Directorates-General with sometimes-divergent priorities.</w:t>
      </w:r>
    </w:p>
    <w:p>
      <w:pPr>
        <w:pStyle w:val="Compact"/>
        <w:numPr>
          <w:ilvl w:val="0"/>
          <w:numId w:val="1023"/>
        </w:numPr>
      </w:pPr>
      <w:r>
        <w:t xml:space="preserve">Multi-level dimension: nested Council/Parliament/Commission structure at the EU level, plus a separate task-specific layer via the European Environment Agency, ESAs, and ECB.</w:t>
      </w:r>
    </w:p>
    <w:p>
      <w:pPr>
        <w:pStyle w:val="Compact"/>
        <w:numPr>
          <w:ilvl w:val="0"/>
          <w:numId w:val="1023"/>
        </w:numPr>
      </w:pPr>
      <w:r>
        <w:t xml:space="preserve">Reform sequence: 2019 Green Deal communication; 2020 Climate Law; 2021 Fit-for-55; 2022 REPowerEU; 2023 Net-Zero Industry Act and Critical Raw Materials Act.</w:t>
      </w:r>
    </w:p>
    <w:p>
      <w:pPr>
        <w:pStyle w:val="Compact"/>
        <w:numPr>
          <w:ilvl w:val="0"/>
          <w:numId w:val="1023"/>
        </w:numPr>
      </w:pPr>
      <w:r>
        <w:t xml:space="preserve">2024–25 retrenchment: agricultural-policy walk-backs, deforestation-regulation delays, partial dilution of CSDDD and CSRD reporting frameworks.</w:t>
      </w:r>
    </w:p>
    <w:p>
      <w:pPr>
        <w:pStyle w:val="Compact"/>
        <w:numPr>
          <w:ilvl w:val="0"/>
          <w:numId w:val="1023"/>
        </w:numPr>
      </w:pPr>
      <w:r>
        <w:t xml:space="preserve">Outcome: substantial paradigm-level commitment to climate-as-macro-economic-policy; partial implementation; ongoing political tension.</w:t>
      </w:r>
    </w:p>
    <w:bookmarkEnd w:id="44"/>
    <w:bookmarkStart w:id="45" w:name="X3132ccfbd4a825aee823f86eb155173dcf9a708"/>
    <w:p>
      <w:pPr>
        <w:pStyle w:val="Heading3"/>
      </w:pPr>
      <w:r>
        <w:t xml:space="preserve">Discussion questions from the case pack</w:t>
      </w:r>
    </w:p>
    <w:p>
      <w:pPr>
        <w:pStyle w:val="Compact"/>
        <w:numPr>
          <w:ilvl w:val="0"/>
          <w:numId w:val="1024"/>
        </w:numPr>
      </w:pPr>
      <w:r>
        <w:t xml:space="preserve">Which 3–4 frameworks fit best? How does veto-player analysis work differently here than in the US case?</w:t>
      </w:r>
    </w:p>
    <w:p>
      <w:pPr>
        <w:pStyle w:val="Compact"/>
        <w:numPr>
          <w:ilvl w:val="0"/>
          <w:numId w:val="1024"/>
        </w:numPr>
      </w:pPr>
      <w:r>
        <w:t xml:space="preserve">Where is multi-level governance more central to this case than to the US case?</w:t>
      </w:r>
    </w:p>
    <w:p>
      <w:pPr>
        <w:pStyle w:val="Compact"/>
        <w:numPr>
          <w:ilvl w:val="0"/>
          <w:numId w:val="1024"/>
        </w:numPr>
      </w:pPr>
      <w:r>
        <w:t xml:space="preserve">Does dynamic-inconsistency analysis help explain the 2024–25 retrenchment?</w:t>
      </w:r>
    </w:p>
    <w:p>
      <w:pPr>
        <w:pStyle w:val="Compact"/>
        <w:numPr>
          <w:ilvl w:val="0"/>
          <w:numId w:val="1024"/>
        </w:numPr>
      </w:pPr>
      <w:r>
        <w:t xml:space="preserve">Is the Green Deal a paradigm shift (Hall’s third order) or a second-order change? How does discursive institutionalism’s</w:t>
      </w:r>
      <w:r>
        <w:t xml:space="preserve"> </w:t>
      </w:r>
      <w:r>
        <w:t xml:space="preserve">“</w:t>
      </w:r>
      <w:r>
        <w:t xml:space="preserve">European way of life</w:t>
      </w:r>
      <w:r>
        <w:t xml:space="preserve">”</w:t>
      </w:r>
      <w:r>
        <w:t xml:space="preserve"> </w:t>
      </w:r>
      <w:r>
        <w:t xml:space="preserve">/</w:t>
      </w:r>
      <w:r>
        <w:t xml:space="preserve"> </w:t>
      </w:r>
      <w:r>
        <w:t xml:space="preserve">“</w:t>
      </w:r>
      <w:r>
        <w:t xml:space="preserve">competitiveness</w:t>
      </w:r>
      <w:r>
        <w:t xml:space="preserve">”</w:t>
      </w:r>
      <w:r>
        <w:t xml:space="preserve"> </w:t>
      </w:r>
      <w:r>
        <w:t xml:space="preserve">framing bear on the post-2024 retrenchment?</w:t>
      </w:r>
    </w:p>
    <w:p>
      <w:pPr>
        <w:pStyle w:val="Compact"/>
        <w:numPr>
          <w:ilvl w:val="0"/>
          <w:numId w:val="1024"/>
        </w:numPr>
      </w:pPr>
      <w:r>
        <w:t xml:space="preserve">Compare to the US case: same archetype, different institutional configuration. What does the contrast reveal about the conditions for climate-policy commitment?</w:t>
      </w:r>
    </w:p>
    <w:p>
      <w:pPr>
        <w:pStyle w:val="Compact"/>
        <w:numPr>
          <w:ilvl w:val="0"/>
          <w:numId w:val="1024"/>
        </w:numPr>
      </w:pPr>
      <w:r>
        <w:t xml:space="preserve">Cairney reflection: which combination strategy fits, and how does it compare to the US case’s reflection?</w:t>
      </w:r>
    </w:p>
    <w:p>
      <w:r>
        <w:br w:type="page"/>
      </w:r>
    </w:p>
    <w:bookmarkEnd w:id="45"/>
    <w:bookmarkEnd w:id="46"/>
    <w:bookmarkEnd w:id="47"/>
    <w:bookmarkStart w:id="54" w:name="X5b007adb54ffff906b55f1303d73446dec975c0"/>
    <w:p>
      <w:pPr>
        <w:pStyle w:val="Heading1"/>
      </w:pPr>
      <w:r>
        <w:t xml:space="preserve">Integrating the Part-1 Toolkit — Worksheet</w:t>
      </w:r>
    </w:p>
    <w:bookmarkStart w:id="53" w:name="X1b771ffa560af555258a7d727b71bb066e68519"/>
    <w:p>
      <w:pPr>
        <w:pStyle w:val="Heading2"/>
      </w:pPr>
      <w:r>
        <w:t xml:space="preserve">Italian welfare-state evolution, 1990s–2010s — Informal-institutions and drift pair</w:t>
      </w:r>
    </w:p>
    <w:p>
      <w:pPr>
        <w:pStyle w:val="FirstParagraph"/>
      </w:pPr>
      <w:r>
        <w:rPr>
          <w:i/>
          <w:iCs/>
        </w:rPr>
        <w:t xml:space="preserve">IR227 Seminar 5 — Group worksheet</w:t>
      </w:r>
    </w:p>
    <w:bookmarkStart w:id="48" w:name="task-4"/>
    <w:p>
      <w:pPr>
        <w:pStyle w:val="Heading3"/>
      </w:pPr>
      <w:r>
        <w:t xml:space="preserve">Task</w:t>
      </w:r>
    </w:p>
    <w:p>
      <w:pPr>
        <w:pStyle w:val="FirstParagraph"/>
      </w:pPr>
      <w:r>
        <w:t xml:space="preserve">Take your assigned policy episode and apply 3–4 frameworks from Sessions 1–5. For each, identify what it lights up and what it misses. Then reflect on which of Cairney’s combination strategies best fits your analysis.</w:t>
      </w:r>
    </w:p>
    <w:p>
      <w:pPr>
        <w:pStyle w:val="BodyText"/>
      </w:pPr>
      <w:r>
        <w:t xml:space="preserve">You will select 3–4 analytical tools yourself from across Sessions 1–5. Hall’s three orders of policy change, veto-player theory, and Cairney’s three combination strategies (recapped below) are the session’s core anchors — draw on these plus whatever else from Sessions 1–5 makes the sharpest claims about your case.</w:t>
      </w:r>
    </w:p>
    <w:bookmarkEnd w:id="48"/>
    <w:bookmarkStart w:id="49" w:name="requirements-4"/>
    <w:p>
      <w:pPr>
        <w:pStyle w:val="Heading3"/>
      </w:pPr>
      <w:r>
        <w:t xml:space="preserve">Requirements</w:t>
      </w:r>
    </w:p>
    <w:p>
      <w:pPr>
        <w:pStyle w:val="Compact"/>
        <w:numPr>
          <w:ilvl w:val="0"/>
          <w:numId w:val="1025"/>
        </w:numPr>
      </w:pPr>
      <w:r>
        <w:t xml:space="preserve">select 3–4 frameworks deliberately,</w:t>
      </w:r>
    </w:p>
    <w:p>
      <w:pPr>
        <w:pStyle w:val="Compact"/>
        <w:numPr>
          <w:ilvl w:val="0"/>
          <w:numId w:val="1025"/>
        </w:numPr>
      </w:pPr>
      <w:r>
        <w:t xml:space="preserve">make each framework produce a specific, defensible claim about the case — not name-dropping,</w:t>
      </w:r>
    </w:p>
    <w:p>
      <w:pPr>
        <w:pStyle w:val="Compact"/>
        <w:numPr>
          <w:ilvl w:val="0"/>
          <w:numId w:val="1025"/>
        </w:numPr>
      </w:pPr>
      <w:r>
        <w:t xml:space="preserve">identify what each framework misses,</w:t>
      </w:r>
    </w:p>
    <w:p>
      <w:pPr>
        <w:pStyle w:val="Compact"/>
        <w:numPr>
          <w:ilvl w:val="0"/>
          <w:numId w:val="1025"/>
        </w:numPr>
      </w:pPr>
      <w:r>
        <w:t xml:space="preserve">describe what the multi-framework integration adds that no single framework would, and</w:t>
      </w:r>
    </w:p>
    <w:p>
      <w:pPr>
        <w:pStyle w:val="Compact"/>
        <w:numPr>
          <w:ilvl w:val="0"/>
          <w:numId w:val="1025"/>
        </w:numPr>
      </w:pPr>
      <w:r>
        <w:t xml:space="preserve">close with a Cairney reflection on which combination strategy (synthesis, complementary, or contradictory) fits.</w:t>
      </w:r>
    </w:p>
    <w:p>
      <w:pPr>
        <w:pStyle w:val="FirstParagraph"/>
      </w:pPr>
      <w:r>
        <w:t xml:space="preserve">Note: these cases are deliberately under-determined. There is no single correct verdict — you will be assessed on the strength of the reasoning chain (framework selection → deployment claims → what each misses → integration → Cairney reflection), not on which verdict you reach.</w:t>
      </w:r>
    </w:p>
    <w:bookmarkEnd w:id="49"/>
    <w:bookmarkStart w:id="50" w:name="tool-summary-4"/>
    <w:p>
      <w:pPr>
        <w:pStyle w:val="Heading3"/>
      </w:pPr>
      <w:r>
        <w:t xml:space="preserve">Tool summary</w:t>
      </w:r>
    </w:p>
    <w:p>
      <w:pPr>
        <w:pStyle w:val="FirstParagraph"/>
      </w:pPr>
      <w:r>
        <w:rPr>
          <w:b/>
          <w:bCs/>
        </w:rPr>
        <w:t xml:space="preserve">Hall’s three orders of policy change (Hall 1993).</w:t>
      </w:r>
      <w:r>
        <w:t xml:space="preserve"> </w:t>
      </w:r>
      <w:r>
        <w:t xml:space="preserve">Ask which order of change you’re looking at.</w:t>
      </w:r>
    </w:p>
    <w:p>
      <w:pPr>
        <w:pStyle w:val="Compact"/>
        <w:numPr>
          <w:ilvl w:val="0"/>
          <w:numId w:val="1026"/>
        </w:numPr>
      </w:pPr>
      <w:r>
        <w:t xml:space="preserve">First order — adjusting the settings of existing policy instruments.</w:t>
      </w:r>
    </w:p>
    <w:p>
      <w:pPr>
        <w:pStyle w:val="Compact"/>
        <w:numPr>
          <w:ilvl w:val="0"/>
          <w:numId w:val="1026"/>
        </w:numPr>
      </w:pPr>
      <w:r>
        <w:t xml:space="preserve">Second order — changing the instruments themselves.</w:t>
      </w:r>
    </w:p>
    <w:p>
      <w:pPr>
        <w:pStyle w:val="Compact"/>
        <w:numPr>
          <w:ilvl w:val="0"/>
          <w:numId w:val="1026"/>
        </w:numPr>
      </w:pPr>
      <w:r>
        <w:t xml:space="preserve">Third order — shifting the overarching paradigm: goals, concepts, the interpretive frame.</w:t>
      </w:r>
    </w:p>
    <w:p>
      <w:pPr>
        <w:pStyle w:val="FirstParagraph"/>
      </w:pPr>
      <w:r>
        <w:rPr>
          <w:b/>
          <w:bCs/>
        </w:rPr>
        <w:t xml:space="preserve">Veto-player theory (Tsebelis 2002).</w:t>
      </w:r>
      <w:r>
        <w:t xml:space="preserve"> </w:t>
      </w:r>
      <w:r>
        <w:t xml:space="preserve">Ask how many actors must agree to change the status quo, and how ideologically distant they are.</w:t>
      </w:r>
    </w:p>
    <w:p>
      <w:pPr>
        <w:pStyle w:val="Compact"/>
        <w:numPr>
          <w:ilvl w:val="0"/>
          <w:numId w:val="1027"/>
        </w:numPr>
      </w:pPr>
      <w:r>
        <w:t xml:space="preserve">Institutional veto players are specified by the constitution; partisan veto players by the political game (e.g. coalition parties).</w:t>
      </w:r>
    </w:p>
    <w:p>
      <w:pPr>
        <w:pStyle w:val="Compact"/>
        <w:numPr>
          <w:ilvl w:val="0"/>
          <w:numId w:val="1027"/>
        </w:numPr>
      </w:pPr>
      <w:r>
        <w:t xml:space="preserve">The winset of the status quo — the set of policies that could replace it — shrinks as veto-player count, ideological distance, and internal cohesion grow.</w:t>
      </w:r>
    </w:p>
    <w:p>
      <w:pPr>
        <w:pStyle w:val="FirstParagraph"/>
      </w:pPr>
      <w:r>
        <w:rPr>
          <w:b/>
          <w:bCs/>
        </w:rPr>
        <w:t xml:space="preserve">Cairney’s three combination strategies (Cairney 2013).</w:t>
      </w:r>
      <w:r>
        <w:t xml:space="preserve"> </w:t>
      </w:r>
      <w:r>
        <w:t xml:space="preserve">Once you’ve deployed your frameworks, decide how they fit together.</w:t>
      </w:r>
    </w:p>
    <w:p>
      <w:pPr>
        <w:pStyle w:val="Compact"/>
        <w:numPr>
          <w:ilvl w:val="0"/>
          <w:numId w:val="1028"/>
        </w:numPr>
      </w:pPr>
      <w:r>
        <w:t xml:space="preserve">Synthesis — build a single integrated theory drawing on multiple frameworks. Demanding; rare.</w:t>
      </w:r>
    </w:p>
    <w:p>
      <w:pPr>
        <w:pStyle w:val="Compact"/>
        <w:numPr>
          <w:ilvl w:val="0"/>
          <w:numId w:val="1028"/>
        </w:numPr>
      </w:pPr>
      <w:r>
        <w:t xml:space="preserve">Complementary — use different frameworks for different aspects of the case. Most common.</w:t>
      </w:r>
    </w:p>
    <w:p>
      <w:pPr>
        <w:pStyle w:val="Compact"/>
        <w:numPr>
          <w:ilvl w:val="0"/>
          <w:numId w:val="1028"/>
        </w:numPr>
      </w:pPr>
      <w:r>
        <w:t xml:space="preserve">Contradictory — compare what each framework says; choose via a scientific-principles</w:t>
      </w:r>
      <w:r>
        <w:t xml:space="preserve"> </w:t>
      </w:r>
      <w:r>
        <w:t xml:space="preserve">“</w:t>
      </w:r>
      <w:r>
        <w:t xml:space="preserve">shootout.</w:t>
      </w:r>
      <w:r>
        <w:t xml:space="preserve">”</w:t>
      </w:r>
    </w:p>
    <w:bookmarkEnd w:id="50"/>
    <w:bookmarkStart w:id="51" w:name="case-specifics-from-the-case-pack-4"/>
    <w:p>
      <w:pPr>
        <w:pStyle w:val="Heading3"/>
      </w:pPr>
      <w:r>
        <w:t xml:space="preserve">Case specifics (from the case pack)</w:t>
      </w:r>
    </w:p>
    <w:p>
      <w:pPr>
        <w:pStyle w:val="FirstParagraph"/>
      </w:pPr>
      <w:r>
        <w:t xml:space="preserve">Italy’s welfare-state evolution across the 1990s to 2010s is a textbook case for the gradual-change typology and informal institutions. The post-1992</w:t>
      </w:r>
      <w:r>
        <w:t xml:space="preserve"> </w:t>
      </w:r>
      <w:r>
        <w:rPr>
          <w:i/>
          <w:iCs/>
        </w:rPr>
        <w:t xml:space="preserve">tangentopoli</w:t>
      </w:r>
      <w:r>
        <w:t xml:space="preserve"> </w:t>
      </w:r>
      <w:r>
        <w:t xml:space="preserve">cleaned out one political class but left the underlying clientelist networks largely in place. Welfare reform proceeded through a mix of layering (a multi-tier pension system added to the existing PAYG system in the Dini and Maroni reforms), conversion (labour-market institutions repurposed under the Treu, Biagi, and Fornero laws under different governments), and drift (the real value of certain protections eroding through inflation and non-indexation). Throughout, regional party machines, particularly in the South, mediated formal welfare provisions through informal networks.</w:t>
      </w:r>
    </w:p>
    <w:p>
      <w:pPr>
        <w:pStyle w:val="BodyText"/>
      </w:pPr>
      <w:r>
        <w:rPr>
          <w:b/>
          <w:bCs/>
        </w:rPr>
        <w:t xml:space="preserve">Case: the agency’s data</w:t>
      </w:r>
    </w:p>
    <w:p>
      <w:pPr>
        <w:pStyle w:val="Compact"/>
        <w:numPr>
          <w:ilvl w:val="0"/>
          <w:numId w:val="1029"/>
        </w:numPr>
      </w:pPr>
      <w:r>
        <w:t xml:space="preserve">Trigger conditions: 1992</w:t>
      </w:r>
      <w:r>
        <w:t xml:space="preserve"> </w:t>
      </w:r>
      <w:r>
        <w:rPr>
          <w:i/>
          <w:iCs/>
        </w:rPr>
        <w:t xml:space="preserve">tangentopoli</w:t>
      </w:r>
      <w:r>
        <w:t xml:space="preserve">; EU convergence pressure; 1992 ERM crisis; ageing population.</w:t>
      </w:r>
    </w:p>
    <w:p>
      <w:pPr>
        <w:pStyle w:val="Compact"/>
        <w:numPr>
          <w:ilvl w:val="0"/>
          <w:numId w:val="1029"/>
        </w:numPr>
      </w:pPr>
      <w:r>
        <w:t xml:space="preserve">Pre-existing informal institutions: clientelist networks; regional party machines; trade-union organisations; family-dependency structures in welfare provision.</w:t>
      </w:r>
    </w:p>
    <w:p>
      <w:pPr>
        <w:pStyle w:val="Compact"/>
        <w:numPr>
          <w:ilvl w:val="0"/>
          <w:numId w:val="1029"/>
        </w:numPr>
      </w:pPr>
      <w:r>
        <w:t xml:space="preserve">Reform sequence: 1992 Amato pension reform; 1995 Dini reform (multi-tier introduction); 2003 Maroni reform; 2007 Prodi adjustments; 2011 Fornero reform; 2014–16 Renzi labour-market reforms; 2022–present Meloni-era adjustments.</w:t>
      </w:r>
    </w:p>
    <w:p>
      <w:pPr>
        <w:pStyle w:val="Compact"/>
        <w:numPr>
          <w:ilvl w:val="0"/>
          <w:numId w:val="1029"/>
        </w:numPr>
      </w:pPr>
      <w:r>
        <w:t xml:space="preserve">Veto-player structure: frequent government turnover; technocratic governments at moments; coalition fragility; EU fiscal-rule constraint.</w:t>
      </w:r>
    </w:p>
    <w:p>
      <w:pPr>
        <w:pStyle w:val="Compact"/>
        <w:numPr>
          <w:ilvl w:val="0"/>
          <w:numId w:val="1029"/>
        </w:numPr>
      </w:pPr>
      <w:r>
        <w:t xml:space="preserve">Coalition dynamics: pension-claimant constituencies; union resistance to deregulation; technocratic policy networks at moments of fiscal pressure.</w:t>
      </w:r>
    </w:p>
    <w:p>
      <w:pPr>
        <w:pStyle w:val="Compact"/>
        <w:numPr>
          <w:ilvl w:val="0"/>
          <w:numId w:val="1029"/>
        </w:numPr>
      </w:pPr>
      <w:r>
        <w:t xml:space="preserve">Outcome: substantial cumulative change through gradual mechanisms; formal welfare-state reform combined with persistent informal-institution mediation.</w:t>
      </w:r>
    </w:p>
    <w:bookmarkEnd w:id="51"/>
    <w:bookmarkStart w:id="52" w:name="X387aa0d96432d7cba40b082af2f4743f5cc1d68"/>
    <w:p>
      <w:pPr>
        <w:pStyle w:val="Heading3"/>
      </w:pPr>
      <w:r>
        <w:t xml:space="preserve">Discussion questions from the case pack</w:t>
      </w:r>
    </w:p>
    <w:p>
      <w:pPr>
        <w:pStyle w:val="Compact"/>
        <w:numPr>
          <w:ilvl w:val="0"/>
          <w:numId w:val="1030"/>
        </w:numPr>
      </w:pPr>
      <w:r>
        <w:t xml:space="preserve">Which 3–4 frameworks fit best? Drift, layering, conversion, and displacement are all visible somewhere in this case — which dominates which policy area?</w:t>
      </w:r>
    </w:p>
    <w:p>
      <w:pPr>
        <w:pStyle w:val="Compact"/>
        <w:numPr>
          <w:ilvl w:val="0"/>
          <w:numId w:val="1030"/>
        </w:numPr>
      </w:pPr>
      <w:r>
        <w:t xml:space="preserve">Where do informal institutions (regional party machines, family-dependency structures) do the most analytical work?</w:t>
      </w:r>
    </w:p>
    <w:p>
      <w:pPr>
        <w:pStyle w:val="Compact"/>
        <w:numPr>
          <w:ilvl w:val="0"/>
          <w:numId w:val="1030"/>
        </w:numPr>
      </w:pPr>
      <w:r>
        <w:t xml:space="preserve">What does veto-player analysis reveal about the technocratic-government windows?</w:t>
      </w:r>
    </w:p>
    <w:p>
      <w:pPr>
        <w:pStyle w:val="Compact"/>
        <w:numPr>
          <w:ilvl w:val="0"/>
          <w:numId w:val="1030"/>
        </w:numPr>
      </w:pPr>
      <w:r>
        <w:t xml:space="preserve">Where does path dependency on the Bismarckian inheritance help, and where does it fall short?</w:t>
      </w:r>
    </w:p>
    <w:p>
      <w:pPr>
        <w:pStyle w:val="Compact"/>
        <w:numPr>
          <w:ilvl w:val="0"/>
          <w:numId w:val="1030"/>
        </w:numPr>
      </w:pPr>
      <w:r>
        <w:t xml:space="preserve">Cairney reflection: which combination strategy fits, given the diversity of change mechanisms visible in this case?</w:t>
      </w:r>
    </w:p>
    <w:p>
      <w:r>
        <w:br w:type="page"/>
      </w:r>
    </w:p>
    <w:bookmarkEnd w:id="52"/>
    <w:bookmarkEnd w:id="53"/>
    <w:bookmarkEnd w:id="54"/>
    <w:bookmarkStart w:id="61" w:name="X5130d6dba421ce8393516efc957bc20e405aacd"/>
    <w:p>
      <w:pPr>
        <w:pStyle w:val="Heading1"/>
      </w:pPr>
      <w:r>
        <w:t xml:space="preserve">Integrating the Part-1 Toolkit — Worksheet</w:t>
      </w:r>
    </w:p>
    <w:bookmarkStart w:id="60" w:name="Xa1bf46f00bfdd5dec34408a11b3d8d4098f1b7d"/>
    <w:p>
      <w:pPr>
        <w:pStyle w:val="Heading2"/>
      </w:pPr>
      <w:r>
        <w:t xml:space="preserve">Indian farm laws, 2020–2021 — Informal-institutions and drift pair</w:t>
      </w:r>
    </w:p>
    <w:p>
      <w:pPr>
        <w:pStyle w:val="FirstParagraph"/>
      </w:pPr>
      <w:r>
        <w:rPr>
          <w:i/>
          <w:iCs/>
        </w:rPr>
        <w:t xml:space="preserve">IR227 Seminar 5 — Group worksheet</w:t>
      </w:r>
    </w:p>
    <w:bookmarkStart w:id="55" w:name="task-5"/>
    <w:p>
      <w:pPr>
        <w:pStyle w:val="Heading3"/>
      </w:pPr>
      <w:r>
        <w:t xml:space="preserve">Task</w:t>
      </w:r>
    </w:p>
    <w:p>
      <w:pPr>
        <w:pStyle w:val="FirstParagraph"/>
      </w:pPr>
      <w:r>
        <w:t xml:space="preserve">Take your assigned policy episode and apply 3–4 frameworks from Sessions 1–5. For each, identify what it lights up and what it misses. Then reflect on which of Cairney’s combination strategies best fits your analysis.</w:t>
      </w:r>
    </w:p>
    <w:p>
      <w:pPr>
        <w:pStyle w:val="BodyText"/>
      </w:pPr>
      <w:r>
        <w:t xml:space="preserve">You will select 3–4 analytical tools yourself from across Sessions 1–5. Hall’s three orders of policy change, veto-player theory, and Cairney’s three combination strategies (recapped below) are the session’s core anchors — draw on these plus whatever else from Sessions 1–5 makes the sharpest claims about your case.</w:t>
      </w:r>
    </w:p>
    <w:bookmarkEnd w:id="55"/>
    <w:bookmarkStart w:id="56" w:name="requirements-5"/>
    <w:p>
      <w:pPr>
        <w:pStyle w:val="Heading3"/>
      </w:pPr>
      <w:r>
        <w:t xml:space="preserve">Requirements</w:t>
      </w:r>
    </w:p>
    <w:p>
      <w:pPr>
        <w:pStyle w:val="Compact"/>
        <w:numPr>
          <w:ilvl w:val="0"/>
          <w:numId w:val="1031"/>
        </w:numPr>
      </w:pPr>
      <w:r>
        <w:t xml:space="preserve">select 3–4 frameworks deliberately,</w:t>
      </w:r>
    </w:p>
    <w:p>
      <w:pPr>
        <w:pStyle w:val="Compact"/>
        <w:numPr>
          <w:ilvl w:val="0"/>
          <w:numId w:val="1031"/>
        </w:numPr>
      </w:pPr>
      <w:r>
        <w:t xml:space="preserve">make each framework produce a specific, defensible claim about the case — not name-dropping,</w:t>
      </w:r>
    </w:p>
    <w:p>
      <w:pPr>
        <w:pStyle w:val="Compact"/>
        <w:numPr>
          <w:ilvl w:val="0"/>
          <w:numId w:val="1031"/>
        </w:numPr>
      </w:pPr>
      <w:r>
        <w:t xml:space="preserve">identify what each framework misses,</w:t>
      </w:r>
    </w:p>
    <w:p>
      <w:pPr>
        <w:pStyle w:val="Compact"/>
        <w:numPr>
          <w:ilvl w:val="0"/>
          <w:numId w:val="1031"/>
        </w:numPr>
      </w:pPr>
      <w:r>
        <w:t xml:space="preserve">describe what the multi-framework integration adds that no single framework would, and</w:t>
      </w:r>
    </w:p>
    <w:p>
      <w:pPr>
        <w:pStyle w:val="Compact"/>
        <w:numPr>
          <w:ilvl w:val="0"/>
          <w:numId w:val="1031"/>
        </w:numPr>
      </w:pPr>
      <w:r>
        <w:t xml:space="preserve">close with a Cairney reflection on which combination strategy (synthesis, complementary, or contradictory) fits.</w:t>
      </w:r>
    </w:p>
    <w:p>
      <w:pPr>
        <w:pStyle w:val="FirstParagraph"/>
      </w:pPr>
      <w:r>
        <w:t xml:space="preserve">Note: these cases are deliberately under-determined. There is no single correct verdict — you will be assessed on the strength of the reasoning chain (framework selection → deployment claims → what each misses → integration → Cairney reflection), not on which verdict you reach.</w:t>
      </w:r>
    </w:p>
    <w:bookmarkEnd w:id="56"/>
    <w:bookmarkStart w:id="57" w:name="tool-summary-5"/>
    <w:p>
      <w:pPr>
        <w:pStyle w:val="Heading3"/>
      </w:pPr>
      <w:r>
        <w:t xml:space="preserve">Tool summary</w:t>
      </w:r>
    </w:p>
    <w:p>
      <w:pPr>
        <w:pStyle w:val="FirstParagraph"/>
      </w:pPr>
      <w:r>
        <w:rPr>
          <w:b/>
          <w:bCs/>
        </w:rPr>
        <w:t xml:space="preserve">Hall’s three orders of policy change (Hall 1993).</w:t>
      </w:r>
      <w:r>
        <w:t xml:space="preserve"> </w:t>
      </w:r>
      <w:r>
        <w:t xml:space="preserve">Ask which order of change you’re looking at.</w:t>
      </w:r>
    </w:p>
    <w:p>
      <w:pPr>
        <w:pStyle w:val="Compact"/>
        <w:numPr>
          <w:ilvl w:val="0"/>
          <w:numId w:val="1032"/>
        </w:numPr>
      </w:pPr>
      <w:r>
        <w:t xml:space="preserve">First order — adjusting the settings of existing policy instruments.</w:t>
      </w:r>
    </w:p>
    <w:p>
      <w:pPr>
        <w:pStyle w:val="Compact"/>
        <w:numPr>
          <w:ilvl w:val="0"/>
          <w:numId w:val="1032"/>
        </w:numPr>
      </w:pPr>
      <w:r>
        <w:t xml:space="preserve">Second order — changing the instruments themselves.</w:t>
      </w:r>
    </w:p>
    <w:p>
      <w:pPr>
        <w:pStyle w:val="Compact"/>
        <w:numPr>
          <w:ilvl w:val="0"/>
          <w:numId w:val="1032"/>
        </w:numPr>
      </w:pPr>
      <w:r>
        <w:t xml:space="preserve">Third order — shifting the overarching paradigm: goals, concepts, the interpretive frame.</w:t>
      </w:r>
    </w:p>
    <w:p>
      <w:pPr>
        <w:pStyle w:val="FirstParagraph"/>
      </w:pPr>
      <w:r>
        <w:rPr>
          <w:b/>
          <w:bCs/>
        </w:rPr>
        <w:t xml:space="preserve">Veto-player theory (Tsebelis 2002).</w:t>
      </w:r>
      <w:r>
        <w:t xml:space="preserve"> </w:t>
      </w:r>
      <w:r>
        <w:t xml:space="preserve">Ask how many actors must agree to change the status quo, and how ideologically distant they are.</w:t>
      </w:r>
    </w:p>
    <w:p>
      <w:pPr>
        <w:pStyle w:val="Compact"/>
        <w:numPr>
          <w:ilvl w:val="0"/>
          <w:numId w:val="1033"/>
        </w:numPr>
      </w:pPr>
      <w:r>
        <w:t xml:space="preserve">Institutional veto players are specified by the constitution; partisan veto players by the political game (e.g. coalition parties).</w:t>
      </w:r>
    </w:p>
    <w:p>
      <w:pPr>
        <w:pStyle w:val="Compact"/>
        <w:numPr>
          <w:ilvl w:val="0"/>
          <w:numId w:val="1033"/>
        </w:numPr>
      </w:pPr>
      <w:r>
        <w:t xml:space="preserve">The winset of the status quo — the set of policies that could replace it — shrinks as veto-player count, ideological distance, and internal cohesion grow.</w:t>
      </w:r>
    </w:p>
    <w:p>
      <w:pPr>
        <w:pStyle w:val="FirstParagraph"/>
      </w:pPr>
      <w:r>
        <w:rPr>
          <w:b/>
          <w:bCs/>
        </w:rPr>
        <w:t xml:space="preserve">Cairney’s three combination strategies (Cairney 2013).</w:t>
      </w:r>
      <w:r>
        <w:t xml:space="preserve"> </w:t>
      </w:r>
      <w:r>
        <w:t xml:space="preserve">Once you’ve deployed your frameworks, decide how they fit together.</w:t>
      </w:r>
    </w:p>
    <w:p>
      <w:pPr>
        <w:pStyle w:val="Compact"/>
        <w:numPr>
          <w:ilvl w:val="0"/>
          <w:numId w:val="1034"/>
        </w:numPr>
      </w:pPr>
      <w:r>
        <w:t xml:space="preserve">Synthesis — build a single integrated theory drawing on multiple frameworks. Demanding; rare.</w:t>
      </w:r>
    </w:p>
    <w:p>
      <w:pPr>
        <w:pStyle w:val="Compact"/>
        <w:numPr>
          <w:ilvl w:val="0"/>
          <w:numId w:val="1034"/>
        </w:numPr>
      </w:pPr>
      <w:r>
        <w:t xml:space="preserve">Complementary — use different frameworks for different aspects of the case. Most common.</w:t>
      </w:r>
    </w:p>
    <w:p>
      <w:pPr>
        <w:pStyle w:val="Compact"/>
        <w:numPr>
          <w:ilvl w:val="0"/>
          <w:numId w:val="1034"/>
        </w:numPr>
      </w:pPr>
      <w:r>
        <w:t xml:space="preserve">Contradictory — compare what each framework says; choose via a scientific-principles</w:t>
      </w:r>
      <w:r>
        <w:t xml:space="preserve"> </w:t>
      </w:r>
      <w:r>
        <w:t xml:space="preserve">“</w:t>
      </w:r>
      <w:r>
        <w:t xml:space="preserve">shootout.</w:t>
      </w:r>
      <w:r>
        <w:t xml:space="preserve">”</w:t>
      </w:r>
    </w:p>
    <w:bookmarkEnd w:id="57"/>
    <w:bookmarkStart w:id="58" w:name="case-specifics-from-the-case-pack-5"/>
    <w:p>
      <w:pPr>
        <w:pStyle w:val="Heading3"/>
      </w:pPr>
      <w:r>
        <w:t xml:space="preserve">Case specifics (from the case pack)</w:t>
      </w:r>
    </w:p>
    <w:p>
      <w:pPr>
        <w:pStyle w:val="FirstParagraph"/>
      </w:pPr>
      <w:r>
        <w:t xml:space="preserve">The Indian government passed three agricultural-reform laws in September 2020, intending to liberalise agricultural markets, expand contract farming, and reduce minimum-support-price (MSP) interventions. The laws triggered the largest farmer protests in India’s history, especially in Punjab and Haryana, and were repealed in November 2021 — a rare case of a large-scale formal, de jure reform reversed by farmer-union mobilisation and de facto political pressure. The episode is sharp on the de jure / de facto distinction, on informal institutions, and on commitment problems around agricultural-subsidy reform.</w:t>
      </w:r>
    </w:p>
    <w:p>
      <w:pPr>
        <w:pStyle w:val="BodyText"/>
      </w:pPr>
      <w:r>
        <w:rPr>
          <w:b/>
          <w:bCs/>
        </w:rPr>
        <w:t xml:space="preserve">Case: the agency’s data</w:t>
      </w:r>
    </w:p>
    <w:p>
      <w:pPr>
        <w:pStyle w:val="Compact"/>
        <w:numPr>
          <w:ilvl w:val="0"/>
          <w:numId w:val="1035"/>
        </w:numPr>
      </w:pPr>
      <w:r>
        <w:t xml:space="preserve">Trigger conditions: long-running agricultural-policy debates; central government’s strong parliamentary majority; ongoing fiscal pressure on subsidy expenditures; pandemic context for legislative passage.</w:t>
      </w:r>
    </w:p>
    <w:p>
      <w:pPr>
        <w:pStyle w:val="Compact"/>
        <w:numPr>
          <w:ilvl w:val="0"/>
          <w:numId w:val="1035"/>
        </w:numPr>
      </w:pPr>
      <w:r>
        <w:t xml:space="preserve">Pre-existing informal institutions: farmer-union networks (especially Sikh-led associations in Punjab/Haryana); state-level political alliances; APMC mandi systems; clientelist channels for procurement.</w:t>
      </w:r>
    </w:p>
    <w:p>
      <w:pPr>
        <w:pStyle w:val="Compact"/>
        <w:numPr>
          <w:ilvl w:val="0"/>
          <w:numId w:val="1035"/>
        </w:numPr>
      </w:pPr>
      <w:r>
        <w:t xml:space="preserve">Reform passage: September 2020 farm bills passed by Parliament with limited debate.</w:t>
      </w:r>
    </w:p>
    <w:p>
      <w:pPr>
        <w:pStyle w:val="Compact"/>
        <w:numPr>
          <w:ilvl w:val="0"/>
          <w:numId w:val="1035"/>
        </w:numPr>
      </w:pPr>
      <w:r>
        <w:t xml:space="preserve">Resistance: November 2020 onwards farmer protests at Delhi borders; sustained encampment for over a year; political coordination with opposition parties; state governments (Punjab) opposing.</w:t>
      </w:r>
    </w:p>
    <w:p>
      <w:pPr>
        <w:pStyle w:val="Compact"/>
        <w:numPr>
          <w:ilvl w:val="0"/>
          <w:numId w:val="1035"/>
        </w:numPr>
      </w:pPr>
      <w:r>
        <w:t xml:space="preserve">De jure / de facto power: laws de jure passed; de facto blocked by farmer mobilisation, state-level non-cooperation, and political-economic risk.</w:t>
      </w:r>
    </w:p>
    <w:p>
      <w:pPr>
        <w:pStyle w:val="Compact"/>
        <w:numPr>
          <w:ilvl w:val="0"/>
          <w:numId w:val="1035"/>
        </w:numPr>
      </w:pPr>
      <w:r>
        <w:t xml:space="preserve">Repeal: November 2021 repeal announcement by Prime Minister Modi.</w:t>
      </w:r>
    </w:p>
    <w:p>
      <w:pPr>
        <w:pStyle w:val="Compact"/>
        <w:numPr>
          <w:ilvl w:val="0"/>
          <w:numId w:val="1035"/>
        </w:numPr>
      </w:pPr>
      <w:r>
        <w:t xml:space="preserve">Outcome: failed displacement attempt; subsequent agricultural-policy shifts have been smaller-scale and more bargained.</w:t>
      </w:r>
    </w:p>
    <w:bookmarkEnd w:id="58"/>
    <w:bookmarkStart w:id="59" w:name="X568068362dc8e4133806000961525b2dac20a29"/>
    <w:p>
      <w:pPr>
        <w:pStyle w:val="Heading3"/>
      </w:pPr>
      <w:r>
        <w:t xml:space="preserve">Discussion questions from the case pack</w:t>
      </w:r>
    </w:p>
    <w:p>
      <w:pPr>
        <w:pStyle w:val="Compact"/>
        <w:numPr>
          <w:ilvl w:val="0"/>
          <w:numId w:val="1036"/>
        </w:numPr>
      </w:pPr>
      <w:r>
        <w:t xml:space="preserve">Which 3–4 frameworks fit best? The de jure / de facto power distinction is this case’s signature feature — what specific claim does it produce?</w:t>
      </w:r>
    </w:p>
    <w:p>
      <w:pPr>
        <w:pStyle w:val="Compact"/>
        <w:numPr>
          <w:ilvl w:val="0"/>
          <w:numId w:val="1036"/>
        </w:numPr>
      </w:pPr>
      <w:r>
        <w:t xml:space="preserve">Where do informal institutions (farmer-union networks, state-level political alliances) do analytical work?</w:t>
      </w:r>
    </w:p>
    <w:p>
      <w:pPr>
        <w:pStyle w:val="Compact"/>
        <w:numPr>
          <w:ilvl w:val="0"/>
          <w:numId w:val="1036"/>
        </w:numPr>
      </w:pPr>
      <w:r>
        <w:t xml:space="preserve">Does dynamic-inconsistency analysis help explain the trust deficit around MSP and procurement guarantees?</w:t>
      </w:r>
    </w:p>
    <w:p>
      <w:pPr>
        <w:pStyle w:val="Compact"/>
        <w:numPr>
          <w:ilvl w:val="0"/>
          <w:numId w:val="1036"/>
        </w:numPr>
      </w:pPr>
      <w:r>
        <w:t xml:space="preserve">Could state governments and farmer unions be read as de facto veto players, despite lacking formal veto power?</w:t>
      </w:r>
    </w:p>
    <w:p>
      <w:pPr>
        <w:pStyle w:val="Compact"/>
        <w:numPr>
          <w:ilvl w:val="0"/>
          <w:numId w:val="1036"/>
        </w:numPr>
      </w:pPr>
      <w:r>
        <w:t xml:space="preserve">Compare this case to the Italian case: same archetype (formal reform shaped by informal institutions), different mechanism (Italian gradual change vs Indian failed displacement). What does the contrast reveal?</w:t>
      </w:r>
    </w:p>
    <w:p>
      <w:pPr>
        <w:pStyle w:val="Compact"/>
        <w:numPr>
          <w:ilvl w:val="0"/>
          <w:numId w:val="1036"/>
        </w:numPr>
      </w:pPr>
      <w:r>
        <w:t xml:space="preserve">Cairney reflection: which combination strategy fits, and which framework does the most distinctive analytical work?</w:t>
      </w:r>
    </w:p>
    <w:bookmarkEnd w:id="59"/>
    <w:bookmarkEnd w:id="60"/>
    <w:bookmarkEnd w:id="61"/>
    <w:sectPr w:rsidR="0025775B" w:rsidSect="00034616">
      <w:pgSz w:h="15840" w:w="12240"/>
      <w:pgMar w:bottom="1440" w:footer="720" w:gutter="0" w:header="720" w:left="1800" w:right="180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notTrueType/>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C"/>
    <w:multiLevelType w:val="singleLevel"/>
    <w:tmpl w:val="C310EC42"/>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E4089024"/>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15:restartNumberingAfterBreak="0"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15:restartNumberingAfterBreak="0"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15:restartNumberingAfterBreak="0"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15:restartNumberingAfterBreak="0"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15:restartNumberingAfterBreak="0"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15:restartNumberingAfterBreak="0"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973555985" w:numId="1">
    <w:abstractNumId w:val="8"/>
  </w:num>
  <w:num w16cid:durableId="1366563869" w:numId="2">
    <w:abstractNumId w:val="6"/>
  </w:num>
  <w:num w16cid:durableId="1202668815" w:numId="3">
    <w:abstractNumId w:val="5"/>
  </w:num>
  <w:num w16cid:durableId="892079298" w:numId="4">
    <w:abstractNumId w:val="4"/>
  </w:num>
  <w:num w16cid:durableId="1506898117" w:numId="5">
    <w:abstractNumId w:val="7"/>
  </w:num>
  <w:num w16cid:durableId="2120489874" w:numId="6">
    <w:abstractNumId w:val="3"/>
  </w:num>
  <w:num w16cid:durableId="1656684556" w:numId="7">
    <w:abstractNumId w:val="2"/>
  </w:num>
  <w:num w16cid:durableId="505946227" w:numId="8">
    <w:abstractNumId w:val="1"/>
  </w:num>
  <w:num w16cid:durableId="617180631" w:numId="9">
    <w:abstractNumId w:val="0"/>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 w:numId="1026">
    <w:abstractNumId w:val="991"/>
  </w:num>
  <w:num w:numId="1027">
    <w:abstractNumId w:val="991"/>
  </w:num>
  <w:num w:numId="1028">
    <w:abstractNumId w:val="991"/>
  </w:num>
  <w:num w:numId="1029">
    <w:abstractNumId w:val="991"/>
  </w:num>
  <w:num w:numId="1030">
    <w:abstractNumId w:val="991"/>
  </w:num>
  <w:num w:numId="1031">
    <w:abstractNumId w:val="991"/>
  </w:num>
  <w:num w:numId="1032">
    <w:abstractNumId w:val="991"/>
  </w:num>
  <w:num w:numId="1033">
    <w:abstractNumId w:val="991"/>
  </w:num>
  <w:num w:numId="1034">
    <w:abstractNumId w:val="991"/>
  </w:num>
  <w:num w:numId="1035">
    <w:abstractNumId w:val="991"/>
  </w:num>
  <w:num w:numId="103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23"/>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5775B"/>
    <w:rsid w:val="0029639D"/>
    <w:rsid w:val="00326F90"/>
    <w:rsid w:val="005D1614"/>
    <w:rsid w:val="00AA1D8D"/>
    <w:rsid w:val="00B47730"/>
    <w:rsid w:val="00CB0664"/>
    <w:rsid w:val="00D4168F"/>
    <w:rsid w:val="00FC693F"/>
  </w:rsids>
  <w:themeFontLang w:eastAsia="ja-JP" w:val="en-US"/>
  <w:clrSchemeMapping w:accent1="accent1" w:accent2="accent2" w:accent3="accent3" w:accent4="accent4" w:accent5="accent5" w:accent6="accent6" w:bg1="light1" w:bg2="light2" w:followedHyperlink="followedHyperlink" w:hyperlink="hyperlink" w:t1="dark1" w:t2="dark2"/>
  <w:doNotAutoCompressPictures/>
  <w:shapeDefaults>
    <o:shapedefaults spidmax="1026"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FC693F"/>
  </w:style>
  <w:style w:styleId="Heading1" w:type="paragraph">
    <w:name w:val="heading 1"/>
    <w:basedOn w:val="Normal"/>
    <w:next w:val="Normal"/>
    <w:link w:val="Heading1Char"/>
    <w:uiPriority w:val="9"/>
    <w:qFormat/>
    <w:rsid w:val="00FC693F"/>
    <w:pPr>
      <w:keepNext/>
      <w:keepLines/>
      <w:spacing w:after="0" w:before="480"/>
      <w:outlineLvl w:val="0"/>
    </w:pPr>
    <w:rPr>
      <w:rFonts w:asciiTheme="majorHAnsi" w:cstheme="majorBidi" w:eastAsiaTheme="majorEastAsia" w:hAnsiTheme="majorHAnsi"/>
      <w:b/>
      <w:bCs/>
      <w:color w:themeColor="accent1" w:themeShade="BF" w:val="365F91"/>
      <w:sz w:val="28"/>
      <w:szCs w:val="28"/>
    </w:rPr>
  </w:style>
  <w:style w:styleId="Heading2" w:type="paragraph">
    <w:name w:val="heading 2"/>
    <w:basedOn w:val="Normal"/>
    <w:next w:val="Normal"/>
    <w:link w:val="Heading2Char"/>
    <w:uiPriority w:val="9"/>
    <w:unhideWhenUsed/>
    <w:qFormat/>
    <w:rsid w:val="00FC693F"/>
    <w:pPr>
      <w:keepNext/>
      <w:keepLines/>
      <w:spacing w:after="0" w:before="200"/>
      <w:outlineLvl w:val="1"/>
    </w:pPr>
    <w:rPr>
      <w:rFonts w:asciiTheme="majorHAnsi" w:cstheme="majorBidi" w:eastAsiaTheme="majorEastAsia" w:hAnsiTheme="majorHAnsi"/>
      <w:b/>
      <w:bCs/>
      <w:color w:themeColor="accent1" w:val="4F81BD"/>
      <w:sz w:val="26"/>
      <w:szCs w:val="26"/>
    </w:rPr>
  </w:style>
  <w:style w:styleId="Heading3" w:type="paragraph">
    <w:name w:val="heading 3"/>
    <w:basedOn w:val="Normal"/>
    <w:next w:val="Normal"/>
    <w:link w:val="Heading3Char"/>
    <w:uiPriority w:val="9"/>
    <w:unhideWhenUsed/>
    <w:qFormat/>
    <w:rsid w:val="00FC693F"/>
    <w:pPr>
      <w:keepNext/>
      <w:keepLines/>
      <w:spacing w:after="0" w:before="200"/>
      <w:outlineLvl w:val="2"/>
    </w:pPr>
    <w:rPr>
      <w:rFonts w:asciiTheme="majorHAnsi" w:cstheme="majorBidi" w:eastAsiaTheme="majorEastAsia" w:hAnsiTheme="majorHAnsi"/>
      <w:b/>
      <w:bCs/>
      <w:color w:themeColor="accent1" w:val="4F81BD"/>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pBdr>
        <w:bottom w:color="4F81BD" w:space="4" w:sz="8" w:themeColor="accent1" w:val="single"/>
      </w:pBdr>
      <w:spacing w:after="300" w:line="240" w:lineRule="auto"/>
      <w:contextualSpacing/>
    </w:pPr>
    <w:rPr>
      <w:rFonts w:asciiTheme="majorHAnsi" w:cstheme="majorBidi" w:eastAsiaTheme="majorEastAsia" w:hAnsiTheme="majorHAnsi"/>
      <w:color w:themeColor="text2" w:themeShade="BF" w:val="17365D"/>
      <w:spacing w:val="5"/>
      <w:kern w:val="28"/>
      <w:sz w:val="52"/>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numPr>
        <w:ilvl w:val="1"/>
      </w:numPr>
    </w:pPr>
    <w:rPr>
      <w:rFonts w:asciiTheme="majorHAnsi" w:cstheme="majorBidi" w:eastAsiaTheme="majorEastAsia" w:hAnsiTheme="majorHAnsi"/>
      <w:i/>
      <w:iCs/>
      <w:color w:themeColor="accent1" w:val="4F81BD"/>
      <w:spacing w:val="15"/>
      <w:sz w:val="24"/>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Borders>
        <w:top w:color="000000" w:space="0" w:sz="8" w:themeColor="text1" w:val="single"/>
        <w:bottom w:color="000000" w:space="0" w:sz="8" w:themeColor="text1" w:val="single"/>
      </w:tblBorders>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Borders>
        <w:top w:color="4F81BD" w:space="0" w:sz="8" w:themeColor="accent1" w:val="single"/>
        <w:bottom w:color="4F81BD" w:space="0" w:sz="8" w:themeColor="accent1" w:val="single"/>
      </w:tblBorders>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Borders>
        <w:top w:color="C0504D" w:space="0" w:sz="8" w:themeColor="accent2" w:val="single"/>
        <w:bottom w:color="C0504D" w:space="0" w:sz="8" w:themeColor="accent2" w:val="single"/>
      </w:tblBorders>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Borders>
        <w:top w:color="9BBB59" w:space="0" w:sz="8" w:themeColor="accent3" w:val="single"/>
        <w:bottom w:color="9BBB59" w:space="0" w:sz="8" w:themeColor="accent3" w:val="single"/>
      </w:tblBorders>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Borders>
        <w:top w:color="8064A2" w:space="0" w:sz="8" w:themeColor="accent4" w:val="single"/>
        <w:bottom w:color="8064A2" w:space="0" w:sz="8" w:themeColor="accent4" w:val="single"/>
      </w:tblBorders>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Borders>
        <w:top w:color="4BACC6" w:space="0" w:sz="8" w:themeColor="accent5" w:val="single"/>
        <w:bottom w:color="4BACC6" w:space="0" w:sz="8" w:themeColor="accent5" w:val="single"/>
      </w:tblBorders>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Borders>
        <w:top w:color="F79646" w:space="0" w:sz="8" w:themeColor="accent6" w:val="single"/>
        <w:bottom w:color="F79646" w:space="0" w:sz="8" w:themeColor="accent6" w:val="single"/>
      </w:tblBorders>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tblBorders>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tblBorders>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tblBorders>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tblBorders>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tblBorders>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tblBorders>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tblBorders>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Borders>
        <w:top w:color="auto" w:space="0" w:sz="18" w:val="single"/>
        <w:bottom w:color="auto" w:space="0" w:sz="18" w:val="single"/>
      </w:tblBorders>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Borders>
        <w:top w:color="000000" w:space="0" w:sz="8" w:themeColor="text1" w:val="single"/>
        <w:bottom w:color="000000" w:space="0" w:sz="8" w:themeColor="text1" w:val="single"/>
      </w:tblBorders>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Borders>
        <w:top w:color="4F81BD" w:space="0" w:sz="8" w:themeColor="accent1" w:val="single"/>
        <w:bottom w:color="4F81BD" w:space="0" w:sz="8" w:themeColor="accent1" w:val="single"/>
      </w:tblBorders>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Borders>
        <w:top w:color="C0504D" w:space="0" w:sz="8" w:themeColor="accent2" w:val="single"/>
        <w:bottom w:color="C0504D" w:space="0" w:sz="8" w:themeColor="accent2" w:val="single"/>
      </w:tblBorders>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Borders>
        <w:top w:color="9BBB59" w:space="0" w:sz="8" w:themeColor="accent3" w:val="single"/>
        <w:bottom w:color="9BBB59" w:space="0" w:sz="8" w:themeColor="accent3" w:val="single"/>
      </w:tblBorders>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Borders>
        <w:top w:color="8064A2" w:space="0" w:sz="8" w:themeColor="accent4" w:val="single"/>
        <w:bottom w:color="8064A2" w:space="0" w:sz="8" w:themeColor="accent4" w:val="single"/>
      </w:tblBorders>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Borders>
        <w:top w:color="4BACC6" w:space="0" w:sz="8" w:themeColor="accent5" w:val="single"/>
        <w:bottom w:color="4BACC6" w:space="0" w:sz="8" w:themeColor="accent5" w:val="single"/>
      </w:tblBorders>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Borders>
        <w:top w:color="F79646" w:space="0" w:sz="8" w:themeColor="accent6" w:val="single"/>
        <w:bottom w:color="F79646" w:space="0" w:sz="8" w:themeColor="accent6" w:val="single"/>
      </w:tblBorders>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tblBorders>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tblBorders>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tblBorders>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tblBorders>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tblBorders>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tblBorders>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tblBorders>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urfulShading" w:type="table">
    <w:name w:val="Colorful Shading"/>
    <w:basedOn w:val="TableNormal"/>
    <w:uiPriority w:val="71"/>
    <w:rsid w:val="00CB0664"/>
    <w:pPr>
      <w:spacing w:after="0" w:line="240" w:lineRule="auto"/>
    </w:pPr>
    <w:rPr>
      <w:color w:themeColor="text1" w:val="000000"/>
    </w:rPr>
    <w:tblPr>
      <w:tblStyleRowBandSize w:val="1"/>
      <w:tblStyleColBandSize w:val="1"/>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u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u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u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u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u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u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urfulList" w:type="table">
    <w:name w:val="Colorful List"/>
    <w:basedOn w:val="TableNormal"/>
    <w:uiPriority w:val="72"/>
    <w:rsid w:val="00CB0664"/>
    <w:pPr>
      <w:spacing w:after="0" w:line="240" w:lineRule="auto"/>
    </w:pPr>
    <w:rPr>
      <w:color w:themeColor="text1" w:val="000000"/>
    </w:rPr>
    <w:tblPr>
      <w:tblStyleRowBandSize w:val="1"/>
      <w:tblStyleColBandSize w:val="1"/>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u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u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u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u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u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u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urfulGrid" w:type="table">
    <w:name w:val="Colorful Grid"/>
    <w:basedOn w:val="TableNormal"/>
    <w:uiPriority w:val="73"/>
    <w:rsid w:val="00CB0664"/>
    <w:pPr>
      <w:spacing w:after="0" w:line="240" w:lineRule="auto"/>
    </w:pPr>
    <w:rPr>
      <w:color w:themeColor="text1" w:val="000000"/>
    </w:rPr>
    <w:tblPr>
      <w:tblStyleRowBandSize w:val="1"/>
      <w:tblStyleColBandSize w:val="1"/>
      <w:tblBorders>
        <w:insideH w:color="FFFFFF" w:space="0" w:sz="4" w:themeColor="background1" w:val="single"/>
      </w:tblBorders>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u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Borders>
        <w:insideH w:color="FFFFFF" w:space="0" w:sz="4" w:themeColor="background1" w:val="single"/>
      </w:tblBorders>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u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Borders>
        <w:insideH w:color="FFFFFF" w:space="0" w:sz="4" w:themeColor="background1" w:val="single"/>
      </w:tblBorders>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u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Borders>
        <w:insideH w:color="FFFFFF" w:space="0" w:sz="4" w:themeColor="background1" w:val="single"/>
      </w:tblBorders>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u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Borders>
        <w:insideH w:color="FFFFFF" w:space="0" w:sz="4" w:themeColor="background1" w:val="single"/>
      </w:tblBorders>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u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Borders>
        <w:insideH w:color="FFFFFF" w:space="0" w:sz="4" w:themeColor="background1" w:val="single"/>
      </w:tblBorders>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u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Borders>
        <w:insideH w:color="FFFFFF" w:space="0" w:sz="4" w:themeColor="background1" w:val="single"/>
      </w:tblBorders>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customStyle="1" w:styleId="SourceCode" w:type="paragraph">
    <w:name w:val="Source Code"/>
    <w:basedOn w:val="Normal"/>
    <w:link w:val="VerbatimChar"/>
    <w:pPr>
      <w:wordWrap w:val="off"/>
    </w:pPr>
  </w:style>
  <w:style w:customStyle="1" w:styleId="KeywordTok" w:type="character">
    <w:name w:val="KeywordTok"/>
    <w:basedOn w:val="VerbatimChar"/>
    <w:rPr>
      <w:b/>
      <w:color w:val="007020"/>
    </w:rPr>
  </w:style>
  <w:style w:customStyle="1" w:styleId="DataTypeTok" w:type="character">
    <w:name w:val="DataTypeTok"/>
    <w:basedOn w:val="VerbatimChar"/>
    <w:rPr>
      <w:color w:val="902000"/>
    </w:rPr>
  </w:style>
  <w:style w:customStyle="1" w:styleId="DecValTok" w:type="character">
    <w:name w:val="DecValTok"/>
    <w:basedOn w:val="VerbatimChar"/>
    <w:rPr>
      <w:color w:val="40a070"/>
    </w:rPr>
  </w:style>
  <w:style w:customStyle="1" w:styleId="BaseNTok" w:type="character">
    <w:name w:val="BaseNTok"/>
    <w:basedOn w:val="VerbatimChar"/>
    <w:rPr>
      <w:color w:val="40a070"/>
    </w:rPr>
  </w:style>
  <w:style w:customStyle="1" w:styleId="FloatTok" w:type="character">
    <w:name w:val="FloatTok"/>
    <w:basedOn w:val="VerbatimChar"/>
    <w:rPr>
      <w:color w:val="40a070"/>
    </w:rPr>
  </w:style>
  <w:style w:customStyle="1" w:styleId="ConstantTok" w:type="character">
    <w:name w:val="ConstantTok"/>
    <w:basedOn w:val="VerbatimChar"/>
    <w:rPr>
      <w:color w:val="880000"/>
    </w:rPr>
  </w:style>
  <w:style w:customStyle="1" w:styleId="CharTok" w:type="character">
    <w:name w:val="CharTok"/>
    <w:basedOn w:val="VerbatimChar"/>
    <w:rPr>
      <w:color w:val="4070a0"/>
    </w:rPr>
  </w:style>
  <w:style w:customStyle="1" w:styleId="SpecialCharTok" w:type="character">
    <w:name w:val="SpecialCharTok"/>
    <w:basedOn w:val="VerbatimChar"/>
    <w:rPr>
      <w:color w:val="4070a0"/>
    </w:rPr>
  </w:style>
  <w:style w:customStyle="1" w:styleId="StringTok" w:type="character">
    <w:name w:val="StringTok"/>
    <w:basedOn w:val="VerbatimChar"/>
    <w:rPr>
      <w:color w:val="4070a0"/>
    </w:rPr>
  </w:style>
  <w:style w:customStyle="1" w:styleId="VerbatimStringTok" w:type="character">
    <w:name w:val="VerbatimStringTok"/>
    <w:basedOn w:val="VerbatimChar"/>
    <w:rPr>
      <w:color w:val="4070a0"/>
    </w:rPr>
  </w:style>
  <w:style w:customStyle="1" w:styleId="SpecialStringTok" w:type="character">
    <w:name w:val="SpecialStringTok"/>
    <w:basedOn w:val="VerbatimChar"/>
    <w:rPr>
      <w:color w:val="bb6688"/>
    </w:rPr>
  </w:style>
  <w:style w:customStyle="1" w:styleId="ImportTok" w:type="character">
    <w:name w:val="ImportTok"/>
    <w:basedOn w:val="VerbatimChar"/>
    <w:rPr>
      <w:b/>
      <w:color w:val="008000"/>
    </w:rPr>
  </w:style>
  <w:style w:customStyle="1" w:styleId="CommentTok" w:type="character">
    <w:name w:val="CommentTok"/>
    <w:basedOn w:val="VerbatimChar"/>
    <w:rPr>
      <w:i/>
      <w:color w:val="60a0b0"/>
    </w:rPr>
  </w:style>
  <w:style w:customStyle="1" w:styleId="DocumentationTok" w:type="character">
    <w:name w:val="DocumentationTok"/>
    <w:basedOn w:val="VerbatimChar"/>
    <w:rPr>
      <w:i/>
      <w:color w:val="ba2121"/>
    </w:rPr>
  </w:style>
  <w:style w:customStyle="1" w:styleId="AnnotationTok" w:type="character">
    <w:name w:val="AnnotationTok"/>
    <w:basedOn w:val="VerbatimChar"/>
    <w:rPr>
      <w:b/>
      <w:i/>
      <w:color w:val="60a0b0"/>
    </w:rPr>
  </w:style>
  <w:style w:customStyle="1" w:styleId="CommentVarTok" w:type="character">
    <w:name w:val="CommentVarTok"/>
    <w:basedOn w:val="VerbatimChar"/>
    <w:rPr>
      <w:b/>
      <w:i/>
      <w:color w:val="60a0b0"/>
    </w:rPr>
  </w:style>
  <w:style w:customStyle="1" w:styleId="OtherTok" w:type="character">
    <w:name w:val="OtherTok"/>
    <w:basedOn w:val="VerbatimChar"/>
    <w:rPr>
      <w:color w:val="007020"/>
    </w:rPr>
  </w:style>
  <w:style w:customStyle="1" w:styleId="FunctionTok" w:type="character">
    <w:name w:val="FunctionTok"/>
    <w:basedOn w:val="VerbatimChar"/>
    <w:rPr>
      <w:color w:val="06287e"/>
    </w:rPr>
  </w:style>
  <w:style w:customStyle="1" w:styleId="VariableTok" w:type="character">
    <w:name w:val="VariableTok"/>
    <w:basedOn w:val="VerbatimChar"/>
    <w:rPr>
      <w:color w:val="19177c"/>
    </w:rPr>
  </w:style>
  <w:style w:customStyle="1" w:styleId="ControlFlowTok" w:type="character">
    <w:name w:val="ControlFlowTok"/>
    <w:basedOn w:val="VerbatimChar"/>
    <w:rPr>
      <w:b/>
      <w:color w:val="007020"/>
    </w:rPr>
  </w:style>
  <w:style w:customStyle="1" w:styleId="OperatorTok" w:type="character">
    <w:name w:val="OperatorTok"/>
    <w:basedOn w:val="VerbatimChar"/>
    <w:rPr>
      <w:color w:val="666666"/>
    </w:rPr>
  </w:style>
  <w:style w:customStyle="1" w:styleId="BuiltInTok" w:type="character">
    <w:name w:val="BuiltInTok"/>
    <w:basedOn w:val="VerbatimChar"/>
    <w:rPr>
      <w:color w:val="008000"/>
    </w:rPr>
  </w:style>
  <w:style w:customStyle="1" w:styleId="ExtensionTok" w:type="character">
    <w:name w:val="ExtensionTok"/>
    <w:basedOn w:val="VerbatimChar"/>
    <w:rPr/>
  </w:style>
  <w:style w:customStyle="1" w:styleId="PreprocessorTok" w:type="character">
    <w:name w:val="PreprocessorTok"/>
    <w:basedOn w:val="VerbatimChar"/>
    <w:rPr>
      <w:color w:val="bc7a00"/>
    </w:rPr>
  </w:style>
  <w:style w:customStyle="1" w:styleId="AttributeTok" w:type="character">
    <w:name w:val="AttributeTok"/>
    <w:basedOn w:val="VerbatimChar"/>
    <w:rPr>
      <w:color w:val="7d9029"/>
    </w:rPr>
  </w:style>
  <w:style w:customStyle="1" w:styleId="RegionMarkerTok" w:type="character">
    <w:name w:val="RegionMarkerTok"/>
    <w:basedOn w:val="VerbatimChar"/>
    <w:rPr/>
  </w:style>
  <w:style w:customStyle="1" w:styleId="InformationTok" w:type="character">
    <w:name w:val="InformationTok"/>
    <w:basedOn w:val="VerbatimChar"/>
    <w:rPr>
      <w:b/>
      <w:i/>
      <w:color w:val="60a0b0"/>
    </w:rPr>
  </w:style>
  <w:style w:customStyle="1" w:styleId="WarningTok" w:type="character">
    <w:name w:val="WarningTok"/>
    <w:basedOn w:val="VerbatimChar"/>
    <w:rPr>
      <w:b/>
      <w:i/>
      <w:color w:val="60a0b0"/>
    </w:rPr>
  </w:style>
  <w:style w:customStyle="1" w:styleId="AlertTok" w:type="character">
    <w:name w:val="AlertTok"/>
    <w:basedOn w:val="VerbatimChar"/>
    <w:rPr>
      <w:b/>
      <w:color w:val="ff0000"/>
    </w:rPr>
  </w:style>
  <w:style w:customStyle="1" w:styleId="ErrorTok" w:type="character">
    <w:name w:val="ErrorTok"/>
    <w:basedOn w:val="VerbatimChar"/>
    <w:rPr>
      <w:b/>
      <w:color w:val="ff0000"/>
    </w:rPr>
  </w:style>
  <w:style w:customStyle="1" w:styleId="NormalTok" w:type="character">
    <w:name w:val="NormalTok"/>
    <w:basedOn w:val="VerbatimChar"/>
    <w:r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12</Pages>
  <Words>4115</Words>
  <Characters>23456</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27516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2026-07-07T17:26:34Z</dcterms:created>
  <dcterms:modified xsi:type="dcterms:W3CDTF">2026-07-07T17:26:34Z</dcterms:modified>
</cp:coreProperties>
</file>

<file path=docProps/custom.xml><?xml version="1.0" encoding="utf-8"?>
<Properties xmlns="http://schemas.openxmlformats.org/officeDocument/2006/custom-properties" xmlns:vt="http://schemas.openxmlformats.org/officeDocument/2006/docPropsVTypes"/>
</file>