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6" w:name="X789147b9ea1c97e7dc4a428a367a0f68d961e0f"/>
    <w:p>
      <w:pPr>
        <w:pStyle w:val="Heading1"/>
      </w:pPr>
      <w:r>
        <w:t xml:space="preserve">Governing a Sustainability Transition — Worksheet</w:t>
      </w:r>
    </w:p>
    <w:bookmarkStart w:id="25" w:name="germany-high-income-contested-pair"/>
    <w:p>
      <w:pPr>
        <w:pStyle w:val="Heading2"/>
      </w:pPr>
      <w:r>
        <w:t xml:space="preserve">Germany — High-income contested pair</w:t>
      </w:r>
    </w:p>
    <w:p>
      <w:pPr>
        <w:pStyle w:val="FirstParagraph"/>
      </w:pPr>
      <w:r>
        <w:rPr>
          <w:i/>
          <w:iCs/>
        </w:rPr>
        <w:t xml:space="preserve">IR227 Seminar 4 — Group worksheet</w:t>
      </w:r>
    </w:p>
    <w:bookmarkStart w:id="20" w:name="task"/>
    <w:p>
      <w:pPr>
        <w:pStyle w:val="Heading3"/>
      </w:pPr>
      <w:r>
        <w:t xml:space="preserve">Task</w:t>
      </w:r>
    </w:p>
    <w:p>
      <w:pPr>
        <w:pStyle w:val="FirstParagraph"/>
      </w:pPr>
      <w:r>
        <w:t xml:space="preserve">Take your assigned country’s energy or sustainability transition and diagnose it using three frameworks. Map the regime as a configuration, the niches pressing against it, and the landscape pressures acting on it. Then map how governing authority is distributed across levels, and assess whether the system is more polycentric or more monocentric. Close with a brief comparative reflection on your paired country.</w:t>
      </w:r>
    </w:p>
    <w:p>
      <w:pPr>
        <w:pStyle w:val="BodyText"/>
      </w:pPr>
      <w:r>
        <w:t xml:space="preserve">The analytical tools you will deploy are: the Multi-Level Perspective (MLP), the Type-I/Type-II multi-level-governance (MLG) distinction, and the polycentric-governance approach.</w:t>
      </w:r>
    </w:p>
    <w:bookmarkEnd w:id="20"/>
    <w:bookmarkStart w:id="21" w:name="requirements"/>
    <w:p>
      <w:pPr>
        <w:pStyle w:val="Heading3"/>
      </w:pPr>
      <w:r>
        <w:t xml:space="preserve">Requirements</w:t>
      </w:r>
    </w:p>
    <w:p>
      <w:pPr>
        <w:pStyle w:val="Compact"/>
        <w:numPr>
          <w:ilvl w:val="0"/>
          <w:numId w:val="1001"/>
        </w:numPr>
      </w:pPr>
      <w:r>
        <w:t xml:space="preserve">identify the regime as a configuration — technologies, institutions, practices, actor networks, and investments, not just a technology,</w:t>
      </w:r>
    </w:p>
    <w:p>
      <w:pPr>
        <w:pStyle w:val="Compact"/>
        <w:numPr>
          <w:ilvl w:val="0"/>
          <w:numId w:val="1001"/>
        </w:numPr>
      </w:pPr>
      <w:r>
        <w:t xml:space="preserve">name two or three relevant niches and explain how each is protected,</w:t>
      </w:r>
    </w:p>
    <w:p>
      <w:pPr>
        <w:pStyle w:val="Compact"/>
        <w:numPr>
          <w:ilvl w:val="0"/>
          <w:numId w:val="1001"/>
        </w:numPr>
      </w:pPr>
      <w:r>
        <w:t xml:space="preserve">identify the dominant landscape pressures acting on the regime,</w:t>
      </w:r>
    </w:p>
    <w:p>
      <w:pPr>
        <w:pStyle w:val="Compact"/>
        <w:numPr>
          <w:ilvl w:val="0"/>
          <w:numId w:val="1001"/>
        </w:numPr>
      </w:pPr>
      <w:r>
        <w:t xml:space="preserve">map the multi-level governance structure: which authorities exist at which levels, and whether the relationships among them look nested and general-purpose, overlapping and task-specific, or some mix of both,</w:t>
      </w:r>
    </w:p>
    <w:p>
      <w:pPr>
        <w:pStyle w:val="Compact"/>
        <w:numPr>
          <w:ilvl w:val="0"/>
          <w:numId w:val="1001"/>
        </w:numPr>
      </w:pPr>
      <w:r>
        <w:t xml:space="preserve">deliver a verdict on whether the system is more polycentric or more monocentric, and defend it by naming the coordinating centres you found (or didn’t find), and</w:t>
      </w:r>
    </w:p>
    <w:p>
      <w:pPr>
        <w:pStyle w:val="Compact"/>
        <w:numPr>
          <w:ilvl w:val="0"/>
          <w:numId w:val="1001"/>
        </w:numPr>
      </w:pPr>
      <w:r>
        <w:t xml:space="preserve">close with a comparative reflection on the paired case.</w:t>
      </w:r>
    </w:p>
    <w:p>
      <w:pPr>
        <w:pStyle w:val="FirstParagraph"/>
      </w:pPr>
      <w:r>
        <w:t xml:space="preserve">Note: these cases are deliberately under-determined. There is no single correct verdict — you will be assessed on the strength of the reasoning chain (regime/niche/landscape mapping → governance-structure mapping → polycentric verdict → comparative reflection), not on which verdict you reach.</w:t>
      </w:r>
    </w:p>
    <w:bookmarkEnd w:id="21"/>
    <w:bookmarkStart w:id="22" w:name="tool-summary"/>
    <w:p>
      <w:pPr>
        <w:pStyle w:val="Heading3"/>
      </w:pPr>
      <w:r>
        <w:t xml:space="preserve">Tool summary</w:t>
      </w:r>
    </w:p>
    <w:p>
      <w:pPr>
        <w:pStyle w:val="FirstParagraph"/>
      </w:pPr>
      <w:r>
        <w:rPr>
          <w:b/>
          <w:bCs/>
        </w:rPr>
        <w:t xml:space="preserve">Multi-Level Perspective (Geels 2011).</w:t>
      </w:r>
      <w:r>
        <w:t xml:space="preserve"> </w:t>
      </w:r>
      <w:r>
        <w:t xml:space="preserve">A regime is a configuration, not a technology — ask what’s stable and what’s under pressure.</w:t>
      </w:r>
    </w:p>
    <w:p>
      <w:pPr>
        <w:pStyle w:val="Compact"/>
        <w:numPr>
          <w:ilvl w:val="0"/>
          <w:numId w:val="1002"/>
        </w:numPr>
      </w:pPr>
      <w:r>
        <w:t xml:space="preserve">Landscape — slow-moving contextual conditions: macroeconomics, demographics, cultural values, environmental pressures, geopolitics.</w:t>
      </w:r>
    </w:p>
    <w:p>
      <w:pPr>
        <w:pStyle w:val="Compact"/>
        <w:numPr>
          <w:ilvl w:val="0"/>
          <w:numId w:val="1002"/>
        </w:numPr>
      </w:pPr>
      <w:r>
        <w:t xml:space="preserve">Regime — the dominant configuration: technologies + institutions + practices + actor networks + investments.</w:t>
      </w:r>
    </w:p>
    <w:p>
      <w:pPr>
        <w:pStyle w:val="Compact"/>
        <w:numPr>
          <w:ilvl w:val="0"/>
          <w:numId w:val="1002"/>
        </w:numPr>
      </w:pPr>
      <w:r>
        <w:t xml:space="preserve">Niche — where radical innovations emerge, protected from regime selection pressures.</w:t>
      </w:r>
    </w:p>
    <w:p>
      <w:pPr>
        <w:pStyle w:val="FirstParagraph"/>
      </w:pPr>
      <w:r>
        <w:t xml:space="preserve">Transitions require alignment: landscape pressure + regime opening + niche maturity.</w:t>
      </w:r>
    </w:p>
    <w:p>
      <w:pPr>
        <w:pStyle w:val="BodyText"/>
      </w:pPr>
      <w:r>
        <w:rPr>
          <w:b/>
          <w:bCs/>
        </w:rPr>
        <w:t xml:space="preserve">MLG types (Hooghe and Marks 2003).</w:t>
      </w:r>
      <w:r>
        <w:t xml:space="preserve"> </w:t>
      </w:r>
      <w:r>
        <w:t xml:space="preserve">Ask whether governing relationships across levels are nested and general-purpose, or overlapping and task-specific.</w:t>
      </w:r>
    </w:p>
    <w:p>
      <w:pPr>
        <w:pStyle w:val="Compact"/>
        <w:numPr>
          <w:ilvl w:val="0"/>
          <w:numId w:val="1003"/>
        </w:numPr>
      </w:pPr>
      <w:r>
        <w:t xml:space="preserve">Type I — nested territorial jurisdictions, general-purpose competence. Federal-style.</w:t>
      </w:r>
    </w:p>
    <w:p>
      <w:pPr>
        <w:pStyle w:val="Compact"/>
        <w:numPr>
          <w:ilvl w:val="0"/>
          <w:numId w:val="1003"/>
        </w:numPr>
      </w:pPr>
      <w:r>
        <w:t xml:space="preserve">Type II — overlapping, non-nested, task-specific jurisdictions. Functional-style.</w:t>
      </w:r>
    </w:p>
    <w:p>
      <w:pPr>
        <w:pStyle w:val="FirstParagraph"/>
      </w:pPr>
      <w:r>
        <w:t xml:space="preserve">Real systems are usually hybrid.</w:t>
      </w:r>
    </w:p>
    <w:p>
      <w:pPr>
        <w:pStyle w:val="BodyText"/>
      </w:pPr>
      <w:r>
        <w:rPr>
          <w:b/>
          <w:bCs/>
        </w:rPr>
        <w:t xml:space="preserve">Polycentric vs. monocentric (Ostrom 2014).</w:t>
      </w:r>
      <w:r>
        <w:t xml:space="preserve"> </w:t>
      </w:r>
      <w:r>
        <w:t xml:space="preserve">Ask how many genuinely independent coordinating centres exist, and whether they coordinate through shared rules rather than a single hierarchy.</w:t>
      </w:r>
    </w:p>
    <w:p>
      <w:pPr>
        <w:pStyle w:val="Compact"/>
        <w:numPr>
          <w:ilvl w:val="0"/>
          <w:numId w:val="1004"/>
        </w:numPr>
      </w:pPr>
      <w:r>
        <w:t xml:space="preserve">Polycentric — multiple, partially-autonomous centres coordinating through shared rules and information; no single dominant authority.</w:t>
      </w:r>
    </w:p>
    <w:p>
      <w:pPr>
        <w:pStyle w:val="Compact"/>
        <w:numPr>
          <w:ilvl w:val="0"/>
          <w:numId w:val="1004"/>
        </w:numPr>
      </w:pPr>
      <w:r>
        <w:t xml:space="preserve">Monocentric — a single hierarchical authority.</w:t>
      </w:r>
    </w:p>
    <w:p>
      <w:pPr>
        <w:pStyle w:val="Compact"/>
        <w:numPr>
          <w:ilvl w:val="0"/>
          <w:numId w:val="1004"/>
        </w:numPr>
      </w:pPr>
      <w:r>
        <w:t xml:space="preserve">Decentralised is not the same as polycentric: a decentralised system can still have one locus that has simply chosen to delegate.</w:t>
      </w:r>
    </w:p>
    <w:bookmarkEnd w:id="22"/>
    <w:bookmarkStart w:id="23" w:name="case-specifics-from-the-case-pack"/>
    <w:p>
      <w:pPr>
        <w:pStyle w:val="Heading3"/>
      </w:pPr>
      <w:r>
        <w:t xml:space="preserve">Case specifics (from the case pack)</w:t>
      </w:r>
    </w:p>
    <w:p>
      <w:pPr>
        <w:pStyle w:val="FirstParagraph"/>
      </w:pPr>
      <w:r>
        <w:t xml:space="preserve">Germany’s Energiewende is the paradigmatic European energy transition, begun politically in the 2000s and intensified after the 2011 Fukushima-driven acceleration of the nuclear phase-out. It has involved a partial shift from coal-and-gas centralised electricity toward renewables, distributed generation, and hydrogen pilots. The 2022 Russia–Ukraine war accelerated renewable deployment while forcing short-term fossil-gas dependence, and the 2023 Heizungsgesetz episode (covered in Session 2) showed how regime resistance can re-emerge under political pressure.</w:t>
      </w:r>
    </w:p>
    <w:p>
      <w:pPr>
        <w:pStyle w:val="BodyText"/>
      </w:pPr>
      <w:r>
        <w:t xml:space="preserve">Coal, phased-out nuclear capacity, and gas still supply much of the country’s electricity, generated by utilities such as RWE, EnBW, and Uniper and moved across the grid by Amprion, TenneT, 50Hertz, and TransnetBW, within a market design built around EEG renewable-remuneration payments. Utility-scale solar PV, onshore wind (increasingly slowed by permitting disputes), offshore wind, rooftop solar, early hydrogen pilots, and battery storage have all grown up alongside this. EU climate targets, the post-2022 push for energy security, an ageing coal-plant fleet, and industrial-electricity-cost politics all weigh on the pace of change. Electricity-market rules come from the federal regulator BNetzA, while individual Länder decide on siting and permitting for new generation and grid infrastructure; the EU sets climate targets and state-aid rules that shape how renewables can be subsidised, and grid codes and capacity-market standards get worked out with European technical bodies as well as the national transmission operators. Coal-region state governments and energy-intensive industry have pushed back on aspects of the transition, while the federal economy ministry, the Greens, and renewables-industry associations have pushed for faster deployment.</w:t>
      </w:r>
    </w:p>
    <w:bookmarkEnd w:id="23"/>
    <w:bookmarkStart w:id="24" w:name="discussion-questions-from-the-case-pack"/>
    <w:p>
      <w:pPr>
        <w:pStyle w:val="Heading3"/>
      </w:pPr>
      <w:r>
        <w:t xml:space="preserve">Discussion questions from the case pack</w:t>
      </w:r>
    </w:p>
    <w:p>
      <w:pPr>
        <w:pStyle w:val="Compact"/>
        <w:numPr>
          <w:ilvl w:val="0"/>
          <w:numId w:val="1005"/>
        </w:numPr>
      </w:pPr>
      <w:r>
        <w:t xml:space="preserve">Identify the regime configuration’s strongest and weakest elements. Which are destabilising fastest? Which are reinforcing?</w:t>
      </w:r>
    </w:p>
    <w:p>
      <w:pPr>
        <w:pStyle w:val="Compact"/>
        <w:numPr>
          <w:ilvl w:val="0"/>
          <w:numId w:val="1005"/>
        </w:numPr>
      </w:pPr>
      <w:r>
        <w:t xml:space="preserve">What does Geels’s resistance taxonomy (repurposing, capture, delay) tell you about how German incumbents have responded to the transition?</w:t>
      </w:r>
    </w:p>
    <w:p>
      <w:pPr>
        <w:pStyle w:val="Compact"/>
        <w:numPr>
          <w:ilvl w:val="0"/>
          <w:numId w:val="1005"/>
        </w:numPr>
      </w:pPr>
      <w:r>
        <w:t xml:space="preserve">Is the German system more polycentric or more monocentric?</w:t>
      </w:r>
    </w:p>
    <w:p>
      <w:pPr>
        <w:pStyle w:val="Compact"/>
        <w:numPr>
          <w:ilvl w:val="0"/>
          <w:numId w:val="1005"/>
        </w:numPr>
      </w:pPr>
      <w:r>
        <w:t xml:space="preserve">Comparative reflection: what does the contrast with Denmark reveal about regime mass and the early-mover effect?</w:t>
      </w:r>
    </w:p>
    <w:p>
      <w:r>
        <w:br w:type="page"/>
      </w:r>
    </w:p>
    <w:bookmarkEnd w:id="24"/>
    <w:bookmarkEnd w:id="25"/>
    <w:bookmarkEnd w:id="26"/>
    <w:bookmarkStart w:id="33" w:name="X99c0e508b4914970493b5766a5c0311f48a30ab"/>
    <w:p>
      <w:pPr>
        <w:pStyle w:val="Heading1"/>
      </w:pPr>
      <w:r>
        <w:t xml:space="preserve">Governing a Sustainability Transition — Worksheet</w:t>
      </w:r>
    </w:p>
    <w:bookmarkStart w:id="32" w:name="denmark-high-income-contested-pair"/>
    <w:p>
      <w:pPr>
        <w:pStyle w:val="Heading2"/>
      </w:pPr>
      <w:r>
        <w:t xml:space="preserve">Denmark — High-income contested pair</w:t>
      </w:r>
    </w:p>
    <w:p>
      <w:pPr>
        <w:pStyle w:val="FirstParagraph"/>
      </w:pPr>
      <w:r>
        <w:rPr>
          <w:i/>
          <w:iCs/>
        </w:rPr>
        <w:t xml:space="preserve">IR227 Seminar 4 — Group worksheet</w:t>
      </w:r>
    </w:p>
    <w:bookmarkStart w:id="27" w:name="task-1"/>
    <w:p>
      <w:pPr>
        <w:pStyle w:val="Heading3"/>
      </w:pPr>
      <w:r>
        <w:t xml:space="preserve">Task</w:t>
      </w:r>
    </w:p>
    <w:p>
      <w:pPr>
        <w:pStyle w:val="FirstParagraph"/>
      </w:pPr>
      <w:r>
        <w:t xml:space="preserve">Take your assigned country’s energy or sustainability transition and diagnose it using three frameworks. Map the regime as a configuration, the niches pressing against it, and the landscape pressures acting on it. Then map how governing authority is distributed across levels, and assess whether the system is more polycentric or more monocentric. Close with a brief comparative reflection on your paired country.</w:t>
      </w:r>
    </w:p>
    <w:p>
      <w:pPr>
        <w:pStyle w:val="BodyText"/>
      </w:pPr>
      <w:r>
        <w:t xml:space="preserve">The analytical tools you will deploy are: the Multi-Level Perspective (MLP), the Type-I/Type-II multi-level-governance (MLG) distinction, and the polycentric-governance approach.</w:t>
      </w:r>
    </w:p>
    <w:bookmarkEnd w:id="27"/>
    <w:bookmarkStart w:id="28" w:name="requirements-1"/>
    <w:p>
      <w:pPr>
        <w:pStyle w:val="Heading3"/>
      </w:pPr>
      <w:r>
        <w:t xml:space="preserve">Requirements</w:t>
      </w:r>
    </w:p>
    <w:p>
      <w:pPr>
        <w:pStyle w:val="Compact"/>
        <w:numPr>
          <w:ilvl w:val="0"/>
          <w:numId w:val="1006"/>
        </w:numPr>
      </w:pPr>
      <w:r>
        <w:t xml:space="preserve">identify the regime as a configuration — technologies, institutions, practices, actor networks, and investments, not just a technology,</w:t>
      </w:r>
    </w:p>
    <w:p>
      <w:pPr>
        <w:pStyle w:val="Compact"/>
        <w:numPr>
          <w:ilvl w:val="0"/>
          <w:numId w:val="1006"/>
        </w:numPr>
      </w:pPr>
      <w:r>
        <w:t xml:space="preserve">name two or three relevant niches and explain how each is protected,</w:t>
      </w:r>
    </w:p>
    <w:p>
      <w:pPr>
        <w:pStyle w:val="Compact"/>
        <w:numPr>
          <w:ilvl w:val="0"/>
          <w:numId w:val="1006"/>
        </w:numPr>
      </w:pPr>
      <w:r>
        <w:t xml:space="preserve">identify the dominant landscape pressures acting on the regime,</w:t>
      </w:r>
    </w:p>
    <w:p>
      <w:pPr>
        <w:pStyle w:val="Compact"/>
        <w:numPr>
          <w:ilvl w:val="0"/>
          <w:numId w:val="1006"/>
        </w:numPr>
      </w:pPr>
      <w:r>
        <w:t xml:space="preserve">map the multi-level governance structure: which authorities exist at which levels, and whether the relationships among them look nested and general-purpose, overlapping and task-specific, or some mix of both,</w:t>
      </w:r>
    </w:p>
    <w:p>
      <w:pPr>
        <w:pStyle w:val="Compact"/>
        <w:numPr>
          <w:ilvl w:val="0"/>
          <w:numId w:val="1006"/>
        </w:numPr>
      </w:pPr>
      <w:r>
        <w:t xml:space="preserve">deliver a verdict on whether the system is more polycentric or more monocentric, and defend it by naming the coordinating centres you found (or didn’t find), and</w:t>
      </w:r>
    </w:p>
    <w:p>
      <w:pPr>
        <w:pStyle w:val="Compact"/>
        <w:numPr>
          <w:ilvl w:val="0"/>
          <w:numId w:val="1006"/>
        </w:numPr>
      </w:pPr>
      <w:r>
        <w:t xml:space="preserve">close with a comparative reflection on the paired case.</w:t>
      </w:r>
    </w:p>
    <w:p>
      <w:pPr>
        <w:pStyle w:val="FirstParagraph"/>
      </w:pPr>
      <w:r>
        <w:t xml:space="preserve">Note: these cases are deliberately under-determined. There is no single correct verdict — you will be assessed on the strength of the reasoning chain (regime/niche/landscape mapping → governance-structure mapping → polycentric verdict → comparative reflection), not on which verdict you reach.</w:t>
      </w:r>
    </w:p>
    <w:bookmarkEnd w:id="28"/>
    <w:bookmarkStart w:id="29" w:name="tool-summary-1"/>
    <w:p>
      <w:pPr>
        <w:pStyle w:val="Heading3"/>
      </w:pPr>
      <w:r>
        <w:t xml:space="preserve">Tool summary</w:t>
      </w:r>
    </w:p>
    <w:p>
      <w:pPr>
        <w:pStyle w:val="FirstParagraph"/>
      </w:pPr>
      <w:r>
        <w:rPr>
          <w:b/>
          <w:bCs/>
        </w:rPr>
        <w:t xml:space="preserve">Multi-Level Perspective (Geels 2011).</w:t>
      </w:r>
      <w:r>
        <w:t xml:space="preserve"> </w:t>
      </w:r>
      <w:r>
        <w:t xml:space="preserve">A regime is a configuration, not a technology — ask what’s stable and what’s under pressure.</w:t>
      </w:r>
    </w:p>
    <w:p>
      <w:pPr>
        <w:pStyle w:val="Compact"/>
        <w:numPr>
          <w:ilvl w:val="0"/>
          <w:numId w:val="1007"/>
        </w:numPr>
      </w:pPr>
      <w:r>
        <w:t xml:space="preserve">Landscape — slow-moving contextual conditions: macroeconomics, demographics, cultural values, environmental pressures, geopolitics.</w:t>
      </w:r>
    </w:p>
    <w:p>
      <w:pPr>
        <w:pStyle w:val="Compact"/>
        <w:numPr>
          <w:ilvl w:val="0"/>
          <w:numId w:val="1007"/>
        </w:numPr>
      </w:pPr>
      <w:r>
        <w:t xml:space="preserve">Regime — the dominant configuration: technologies + institutions + practices + actor networks + investments.</w:t>
      </w:r>
    </w:p>
    <w:p>
      <w:pPr>
        <w:pStyle w:val="Compact"/>
        <w:numPr>
          <w:ilvl w:val="0"/>
          <w:numId w:val="1007"/>
        </w:numPr>
      </w:pPr>
      <w:r>
        <w:t xml:space="preserve">Niche — where radical innovations emerge, protected from regime selection pressures.</w:t>
      </w:r>
    </w:p>
    <w:p>
      <w:pPr>
        <w:pStyle w:val="FirstParagraph"/>
      </w:pPr>
      <w:r>
        <w:t xml:space="preserve">Transitions require alignment: landscape pressure + regime opening + niche maturity.</w:t>
      </w:r>
    </w:p>
    <w:p>
      <w:pPr>
        <w:pStyle w:val="BodyText"/>
      </w:pPr>
      <w:r>
        <w:rPr>
          <w:b/>
          <w:bCs/>
        </w:rPr>
        <w:t xml:space="preserve">MLG types (Hooghe and Marks 2003).</w:t>
      </w:r>
      <w:r>
        <w:t xml:space="preserve"> </w:t>
      </w:r>
      <w:r>
        <w:t xml:space="preserve">Ask whether governing relationships across levels are nested and general-purpose, or overlapping and task-specific.</w:t>
      </w:r>
    </w:p>
    <w:p>
      <w:pPr>
        <w:pStyle w:val="Compact"/>
        <w:numPr>
          <w:ilvl w:val="0"/>
          <w:numId w:val="1008"/>
        </w:numPr>
      </w:pPr>
      <w:r>
        <w:t xml:space="preserve">Type I — nested territorial jurisdictions, general-purpose competence. Federal-style.</w:t>
      </w:r>
    </w:p>
    <w:p>
      <w:pPr>
        <w:pStyle w:val="Compact"/>
        <w:numPr>
          <w:ilvl w:val="0"/>
          <w:numId w:val="1008"/>
        </w:numPr>
      </w:pPr>
      <w:r>
        <w:t xml:space="preserve">Type II — overlapping, non-nested, task-specific jurisdictions. Functional-style.</w:t>
      </w:r>
    </w:p>
    <w:p>
      <w:pPr>
        <w:pStyle w:val="FirstParagraph"/>
      </w:pPr>
      <w:r>
        <w:t xml:space="preserve">Real systems are usually hybrid.</w:t>
      </w:r>
    </w:p>
    <w:p>
      <w:pPr>
        <w:pStyle w:val="BodyText"/>
      </w:pPr>
      <w:r>
        <w:rPr>
          <w:b/>
          <w:bCs/>
        </w:rPr>
        <w:t xml:space="preserve">Polycentric vs. monocentric (Ostrom 2014).</w:t>
      </w:r>
      <w:r>
        <w:t xml:space="preserve"> </w:t>
      </w:r>
      <w:r>
        <w:t xml:space="preserve">Ask how many genuinely independent coordinating centres exist, and whether they coordinate through shared rules rather than a single hierarchy.</w:t>
      </w:r>
    </w:p>
    <w:p>
      <w:pPr>
        <w:pStyle w:val="Compact"/>
        <w:numPr>
          <w:ilvl w:val="0"/>
          <w:numId w:val="1009"/>
        </w:numPr>
      </w:pPr>
      <w:r>
        <w:t xml:space="preserve">Polycentric — multiple, partially-autonomous centres coordinating through shared rules and information; no single dominant authority.</w:t>
      </w:r>
    </w:p>
    <w:p>
      <w:pPr>
        <w:pStyle w:val="Compact"/>
        <w:numPr>
          <w:ilvl w:val="0"/>
          <w:numId w:val="1009"/>
        </w:numPr>
      </w:pPr>
      <w:r>
        <w:t xml:space="preserve">Monocentric — a single hierarchical authority.</w:t>
      </w:r>
    </w:p>
    <w:p>
      <w:pPr>
        <w:pStyle w:val="Compact"/>
        <w:numPr>
          <w:ilvl w:val="0"/>
          <w:numId w:val="1009"/>
        </w:numPr>
      </w:pPr>
      <w:r>
        <w:t xml:space="preserve">Decentralised is not the same as polycentric: a decentralised system can still have one locus that has simply chosen to delegate.</w:t>
      </w:r>
    </w:p>
    <w:bookmarkEnd w:id="29"/>
    <w:bookmarkStart w:id="30" w:name="case-specifics-from-the-case-pack-1"/>
    <w:p>
      <w:pPr>
        <w:pStyle w:val="Heading3"/>
      </w:pPr>
      <w:r>
        <w:t xml:space="preserve">Case specifics (from the case pack)</w:t>
      </w:r>
    </w:p>
    <w:p>
      <w:pPr>
        <w:pStyle w:val="FirstParagraph"/>
      </w:pPr>
      <w:r>
        <w:t xml:space="preserve">Denmark’s wind-power transition is one of the cleanest documented socio-technical transitions. Strategic-niche-management investment in the 1980s, building on the 1970s oil-shock legacy, produced a domestic wind-turbine industry that became a coalition for the transition rather than against it. Vestas, as a global manufacturer, and Ørsted (formerly DONG Energy), as a utility that pivoted from oil-and-gas to offshore wind, illustrate the niche-becomes-regime trajectory. By the mid-2020s wind supplies a large share of Danish electricity, with district heating decarbonised through heat pumps and biomass.</w:t>
      </w:r>
    </w:p>
    <w:p>
      <w:pPr>
        <w:pStyle w:val="BodyText"/>
      </w:pPr>
      <w:r>
        <w:t xml:space="preserve">What was previously gas-and-coal electricity has substantially given way to wind generation plus integrated heat-pump district heating, carried by wind-power developers, Vestas as manufacturer, and a network of distributed wind cooperatives. The 1970s oil-shock legacy, EU climate targets, green-economic-strategy positioning, and North Sea geography favouring offshore wind all shaped this path. National ministries and the Danish Energy Agency set energy policy for a unitary state with limited formal sub-national energy authority, while the EU sets climate targets and cross-border market rules. A long-standing tripartite negotiation tradition (trepartsforhandlinger) coordinates government, industry, and labour, and the domestic wind industry has operated throughout as a coalition for the transition rather than against it.</w:t>
      </w:r>
    </w:p>
    <w:bookmarkEnd w:id="30"/>
    <w:bookmarkStart w:id="31" w:name="X4cf3b874869529e6c61abdce607a1eefc2e0dc7"/>
    <w:p>
      <w:pPr>
        <w:pStyle w:val="Heading3"/>
      </w:pPr>
      <w:r>
        <w:t xml:space="preserve">Discussion questions from the case pack</w:t>
      </w:r>
    </w:p>
    <w:p>
      <w:pPr>
        <w:pStyle w:val="Compact"/>
        <w:numPr>
          <w:ilvl w:val="0"/>
          <w:numId w:val="1010"/>
        </w:numPr>
      </w:pPr>
      <w:r>
        <w:t xml:space="preserve">What does Denmark’s case suggest about the conditions for a clean MLP transition?</w:t>
      </w:r>
    </w:p>
    <w:p>
      <w:pPr>
        <w:pStyle w:val="Compact"/>
        <w:numPr>
          <w:ilvl w:val="0"/>
          <w:numId w:val="1010"/>
        </w:numPr>
      </w:pPr>
      <w:r>
        <w:t xml:space="preserve">Was strategic niche management decisive, or was small-state political simplicity decisive, or were both?</w:t>
      </w:r>
    </w:p>
    <w:p>
      <w:pPr>
        <w:pStyle w:val="Compact"/>
        <w:numPr>
          <w:ilvl w:val="0"/>
          <w:numId w:val="1010"/>
        </w:numPr>
      </w:pPr>
      <w:r>
        <w:t xml:space="preserve">Compare the regime configurations: same archetype as Germany, but Denmark’s regime had less political mass to begin with. How much explanatory weight does that carry?</w:t>
      </w:r>
    </w:p>
    <w:p>
      <w:pPr>
        <w:pStyle w:val="Compact"/>
        <w:numPr>
          <w:ilvl w:val="0"/>
          <w:numId w:val="1010"/>
        </w:numPr>
      </w:pPr>
      <w:r>
        <w:t xml:space="preserve">Comparative reflection: same archetype as Germany, divergent outcomes. Which features explain the divergence?</w:t>
      </w:r>
    </w:p>
    <w:p>
      <w:r>
        <w:br w:type="page"/>
      </w:r>
    </w:p>
    <w:bookmarkEnd w:id="31"/>
    <w:bookmarkEnd w:id="32"/>
    <w:bookmarkEnd w:id="33"/>
    <w:bookmarkStart w:id="40" w:name="Xd25b6d9c63054e0ed58e462b0915d7ef9eb6223"/>
    <w:p>
      <w:pPr>
        <w:pStyle w:val="Heading1"/>
      </w:pPr>
      <w:r>
        <w:t xml:space="preserve">Governing a Sustainability Transition — Worksheet</w:t>
      </w:r>
    </w:p>
    <w:bookmarkStart w:id="39" w:name="X1109535d6c398aecabf2f958142d262485e9f6a"/>
    <w:p>
      <w:pPr>
        <w:pStyle w:val="Heading2"/>
      </w:pPr>
      <w:r>
        <w:t xml:space="preserve">Indonesia — Middle-income coal-dependent pair</w:t>
      </w:r>
    </w:p>
    <w:p>
      <w:pPr>
        <w:pStyle w:val="FirstParagraph"/>
      </w:pPr>
      <w:r>
        <w:rPr>
          <w:i/>
          <w:iCs/>
        </w:rPr>
        <w:t xml:space="preserve">IR227 Seminar 4 — Group worksheet</w:t>
      </w:r>
    </w:p>
    <w:bookmarkStart w:id="34" w:name="task-2"/>
    <w:p>
      <w:pPr>
        <w:pStyle w:val="Heading3"/>
      </w:pPr>
      <w:r>
        <w:t xml:space="preserve">Task</w:t>
      </w:r>
    </w:p>
    <w:p>
      <w:pPr>
        <w:pStyle w:val="FirstParagraph"/>
      </w:pPr>
      <w:r>
        <w:t xml:space="preserve">Take your assigned country’s energy or sustainability transition and diagnose it using three frameworks. Map the regime as a configuration, the niches pressing against it, and the landscape pressures acting on it. Then map how governing authority is distributed across levels, and assess whether the system is more polycentric or more monocentric. Close with a brief comparative reflection on your paired country.</w:t>
      </w:r>
    </w:p>
    <w:p>
      <w:pPr>
        <w:pStyle w:val="BodyText"/>
      </w:pPr>
      <w:r>
        <w:t xml:space="preserve">The analytical tools you will deploy are: the Multi-Level Perspective (MLP), the Type-I/Type-II multi-level-governance (MLG) distinction, and the polycentric-governance approach.</w:t>
      </w:r>
    </w:p>
    <w:bookmarkEnd w:id="34"/>
    <w:bookmarkStart w:id="35" w:name="requirements-2"/>
    <w:p>
      <w:pPr>
        <w:pStyle w:val="Heading3"/>
      </w:pPr>
      <w:r>
        <w:t xml:space="preserve">Requirements</w:t>
      </w:r>
    </w:p>
    <w:p>
      <w:pPr>
        <w:pStyle w:val="Compact"/>
        <w:numPr>
          <w:ilvl w:val="0"/>
          <w:numId w:val="1011"/>
        </w:numPr>
      </w:pPr>
      <w:r>
        <w:t xml:space="preserve">identify the regime as a configuration — technologies, institutions, practices, actor networks, and investments, not just a technology,</w:t>
      </w:r>
    </w:p>
    <w:p>
      <w:pPr>
        <w:pStyle w:val="Compact"/>
        <w:numPr>
          <w:ilvl w:val="0"/>
          <w:numId w:val="1011"/>
        </w:numPr>
      </w:pPr>
      <w:r>
        <w:t xml:space="preserve">name two or three relevant niches and explain how each is protected,</w:t>
      </w:r>
    </w:p>
    <w:p>
      <w:pPr>
        <w:pStyle w:val="Compact"/>
        <w:numPr>
          <w:ilvl w:val="0"/>
          <w:numId w:val="1011"/>
        </w:numPr>
      </w:pPr>
      <w:r>
        <w:t xml:space="preserve">identify the dominant landscape pressures acting on the regime,</w:t>
      </w:r>
    </w:p>
    <w:p>
      <w:pPr>
        <w:pStyle w:val="Compact"/>
        <w:numPr>
          <w:ilvl w:val="0"/>
          <w:numId w:val="1011"/>
        </w:numPr>
      </w:pPr>
      <w:r>
        <w:t xml:space="preserve">map the multi-level governance structure: which authorities exist at which levels, and whether the relationships among them look nested and general-purpose, overlapping and task-specific, or some mix of both,</w:t>
      </w:r>
    </w:p>
    <w:p>
      <w:pPr>
        <w:pStyle w:val="Compact"/>
        <w:numPr>
          <w:ilvl w:val="0"/>
          <w:numId w:val="1011"/>
        </w:numPr>
      </w:pPr>
      <w:r>
        <w:t xml:space="preserve">deliver a verdict on whether the system is more polycentric or more monocentric, and defend it by naming the coordinating centres you found (or didn’t find), and</w:t>
      </w:r>
    </w:p>
    <w:p>
      <w:pPr>
        <w:pStyle w:val="Compact"/>
        <w:numPr>
          <w:ilvl w:val="0"/>
          <w:numId w:val="1011"/>
        </w:numPr>
      </w:pPr>
      <w:r>
        <w:t xml:space="preserve">close with a comparative reflection on the paired case.</w:t>
      </w:r>
    </w:p>
    <w:p>
      <w:pPr>
        <w:pStyle w:val="FirstParagraph"/>
      </w:pPr>
      <w:r>
        <w:t xml:space="preserve">Note: these cases are deliberately under-determined. There is no single correct verdict — you will be assessed on the strength of the reasoning chain (regime/niche/landscape mapping → governance-structure mapping → polycentric verdict → comparative reflection), not on which verdict you reach.</w:t>
      </w:r>
    </w:p>
    <w:bookmarkEnd w:id="35"/>
    <w:bookmarkStart w:id="36" w:name="tool-summary-2"/>
    <w:p>
      <w:pPr>
        <w:pStyle w:val="Heading3"/>
      </w:pPr>
      <w:r>
        <w:t xml:space="preserve">Tool summary</w:t>
      </w:r>
    </w:p>
    <w:p>
      <w:pPr>
        <w:pStyle w:val="FirstParagraph"/>
      </w:pPr>
      <w:r>
        <w:rPr>
          <w:b/>
          <w:bCs/>
        </w:rPr>
        <w:t xml:space="preserve">Multi-Level Perspective (Geels 2011).</w:t>
      </w:r>
      <w:r>
        <w:t xml:space="preserve"> </w:t>
      </w:r>
      <w:r>
        <w:t xml:space="preserve">A regime is a configuration, not a technology — ask what’s stable and what’s under pressure.</w:t>
      </w:r>
    </w:p>
    <w:p>
      <w:pPr>
        <w:pStyle w:val="Compact"/>
        <w:numPr>
          <w:ilvl w:val="0"/>
          <w:numId w:val="1012"/>
        </w:numPr>
      </w:pPr>
      <w:r>
        <w:t xml:space="preserve">Landscape — slow-moving contextual conditions: macroeconomics, demographics, cultural values, environmental pressures, geopolitics.</w:t>
      </w:r>
    </w:p>
    <w:p>
      <w:pPr>
        <w:pStyle w:val="Compact"/>
        <w:numPr>
          <w:ilvl w:val="0"/>
          <w:numId w:val="1012"/>
        </w:numPr>
      </w:pPr>
      <w:r>
        <w:t xml:space="preserve">Regime — the dominant configuration: technologies + institutions + practices + actor networks + investments.</w:t>
      </w:r>
    </w:p>
    <w:p>
      <w:pPr>
        <w:pStyle w:val="Compact"/>
        <w:numPr>
          <w:ilvl w:val="0"/>
          <w:numId w:val="1012"/>
        </w:numPr>
      </w:pPr>
      <w:r>
        <w:t xml:space="preserve">Niche — where radical innovations emerge, protected from regime selection pressures.</w:t>
      </w:r>
    </w:p>
    <w:p>
      <w:pPr>
        <w:pStyle w:val="FirstParagraph"/>
      </w:pPr>
      <w:r>
        <w:t xml:space="preserve">Transitions require alignment: landscape pressure + regime opening + niche maturity.</w:t>
      </w:r>
    </w:p>
    <w:p>
      <w:pPr>
        <w:pStyle w:val="BodyText"/>
      </w:pPr>
      <w:r>
        <w:rPr>
          <w:b/>
          <w:bCs/>
        </w:rPr>
        <w:t xml:space="preserve">MLG types (Hooghe and Marks 2003).</w:t>
      </w:r>
      <w:r>
        <w:t xml:space="preserve"> </w:t>
      </w:r>
      <w:r>
        <w:t xml:space="preserve">Ask whether governing relationships across levels are nested and general-purpose, or overlapping and task-specific.</w:t>
      </w:r>
    </w:p>
    <w:p>
      <w:pPr>
        <w:pStyle w:val="Compact"/>
        <w:numPr>
          <w:ilvl w:val="0"/>
          <w:numId w:val="1013"/>
        </w:numPr>
      </w:pPr>
      <w:r>
        <w:t xml:space="preserve">Type I — nested territorial jurisdictions, general-purpose competence. Federal-style.</w:t>
      </w:r>
    </w:p>
    <w:p>
      <w:pPr>
        <w:pStyle w:val="Compact"/>
        <w:numPr>
          <w:ilvl w:val="0"/>
          <w:numId w:val="1013"/>
        </w:numPr>
      </w:pPr>
      <w:r>
        <w:t xml:space="preserve">Type II — overlapping, non-nested, task-specific jurisdictions. Functional-style.</w:t>
      </w:r>
    </w:p>
    <w:p>
      <w:pPr>
        <w:pStyle w:val="FirstParagraph"/>
      </w:pPr>
      <w:r>
        <w:t xml:space="preserve">Real systems are usually hybrid.</w:t>
      </w:r>
    </w:p>
    <w:p>
      <w:pPr>
        <w:pStyle w:val="BodyText"/>
      </w:pPr>
      <w:r>
        <w:rPr>
          <w:b/>
          <w:bCs/>
        </w:rPr>
        <w:t xml:space="preserve">Polycentric vs. monocentric (Ostrom 2014).</w:t>
      </w:r>
      <w:r>
        <w:t xml:space="preserve"> </w:t>
      </w:r>
      <w:r>
        <w:t xml:space="preserve">Ask how many genuinely independent coordinating centres exist, and whether they coordinate through shared rules rather than a single hierarchy.</w:t>
      </w:r>
    </w:p>
    <w:p>
      <w:pPr>
        <w:pStyle w:val="Compact"/>
        <w:numPr>
          <w:ilvl w:val="0"/>
          <w:numId w:val="1014"/>
        </w:numPr>
      </w:pPr>
      <w:r>
        <w:t xml:space="preserve">Polycentric — multiple, partially-autonomous centres coordinating through shared rules and information; no single dominant authority.</w:t>
      </w:r>
    </w:p>
    <w:p>
      <w:pPr>
        <w:pStyle w:val="Compact"/>
        <w:numPr>
          <w:ilvl w:val="0"/>
          <w:numId w:val="1014"/>
        </w:numPr>
      </w:pPr>
      <w:r>
        <w:t xml:space="preserve">Monocentric — a single hierarchical authority.</w:t>
      </w:r>
    </w:p>
    <w:p>
      <w:pPr>
        <w:pStyle w:val="Compact"/>
        <w:numPr>
          <w:ilvl w:val="0"/>
          <w:numId w:val="1014"/>
        </w:numPr>
      </w:pPr>
      <w:r>
        <w:t xml:space="preserve">Decentralised is not the same as polycentric: a decentralised system can still have one locus that has simply chosen to delegate.</w:t>
      </w:r>
    </w:p>
    <w:bookmarkEnd w:id="36"/>
    <w:bookmarkStart w:id="37" w:name="case-specifics-from-the-case-pack-2"/>
    <w:p>
      <w:pPr>
        <w:pStyle w:val="Heading3"/>
      </w:pPr>
      <w:r>
        <w:t xml:space="preserve">Case specifics (from the case pack)</w:t>
      </w:r>
    </w:p>
    <w:p>
      <w:pPr>
        <w:pStyle w:val="FirstParagraph"/>
      </w:pPr>
      <w:r>
        <w:t xml:space="preserve">Indonesia’s coal-phase-out attempt under the Just Energy Transition Partnership (JETP, launched 2022) tests how these frameworks work when the regime is heavily entrenched. The state utility PLN dominates electricity generation, coal-power-purchase agreements are long-term and contractually binding, coal regions carry political weight, and Indonesia is also a major coal exporter, so coal-industry interests extend beyond domestic electricity. JETP commitments are substantial but implementation has lagged.</w:t>
      </w:r>
    </w:p>
    <w:p>
      <w:pPr>
        <w:pStyle w:val="BodyText"/>
      </w:pPr>
      <w:r>
        <w:t xml:space="preserve">Electricity generation runs largely through PLN, which holds substantial coal capacity under legacy, long-term coal-power-purchase agreements; the wider coal industry spans state-owned and private actors and runs alongside a coal-export economy separate from domestic generation. Utility-scale renewables (solar, geothermal, hydropower), donor-funded transition pilots, and off-grid solar in eastern Indonesia sit alongside this. Climate vulnerability, energy-security framing, and sub-national resource politics all bear on how the JETP commitments play out. National government and PLN drive electricity policy and investment planning, while post-1998 decentralisation has given provincial and district governments authority over some energy-access and land matters; JETP’s International Partners Group coordinates donor commitments, though translating pledges into disbursed financing has taken longer than initially planned. PLN’s contractual commitments constrain how quickly coal capacity can be retired, and coal-producing regions carry significant political weight.</w:t>
      </w:r>
    </w:p>
    <w:bookmarkEnd w:id="37"/>
    <w:bookmarkStart w:id="38" w:name="Xabfd89b0020d7dd201e80d11d06c98b246a20ef"/>
    <w:p>
      <w:pPr>
        <w:pStyle w:val="Heading3"/>
      </w:pPr>
      <w:r>
        <w:t xml:space="preserve">Discussion questions from the case pack</w:t>
      </w:r>
    </w:p>
    <w:p>
      <w:pPr>
        <w:pStyle w:val="Compact"/>
        <w:numPr>
          <w:ilvl w:val="0"/>
          <w:numId w:val="1015"/>
        </w:numPr>
      </w:pPr>
      <w:r>
        <w:t xml:space="preserve">How does PLN’s monopoly position interact with Indonesia’s decentralised authority structure?</w:t>
      </w:r>
    </w:p>
    <w:p>
      <w:pPr>
        <w:pStyle w:val="Compact"/>
        <w:numPr>
          <w:ilvl w:val="0"/>
          <w:numId w:val="1015"/>
        </w:numPr>
      </w:pPr>
      <w:r>
        <w:t xml:space="preserve">Does decentralised authority help or hinder coal phase-out in this case?</w:t>
      </w:r>
    </w:p>
    <w:p>
      <w:pPr>
        <w:pStyle w:val="Compact"/>
        <w:numPr>
          <w:ilvl w:val="0"/>
          <w:numId w:val="1015"/>
        </w:numPr>
      </w:pPr>
      <w:r>
        <w:t xml:space="preserve">What strategic-niche-management approaches would be feasible given the contractual lock-in?</w:t>
      </w:r>
    </w:p>
    <w:p>
      <w:pPr>
        <w:pStyle w:val="Compact"/>
        <w:numPr>
          <w:ilvl w:val="0"/>
          <w:numId w:val="1015"/>
        </w:numPr>
      </w:pPr>
      <w:r>
        <w:t xml:space="preserve">Comparative reflection: compare to South Africa — same archetype, different political-economic structure. Where does the resistance live in each, and why?</w:t>
      </w:r>
    </w:p>
    <w:p>
      <w:r>
        <w:br w:type="page"/>
      </w:r>
    </w:p>
    <w:bookmarkEnd w:id="38"/>
    <w:bookmarkEnd w:id="39"/>
    <w:bookmarkEnd w:id="40"/>
    <w:bookmarkStart w:id="47" w:name="X53573e0ddb81ce2dc8cb5329bf97d2d06df4426"/>
    <w:p>
      <w:pPr>
        <w:pStyle w:val="Heading1"/>
      </w:pPr>
      <w:r>
        <w:t xml:space="preserve">Governing a Sustainability Transition — Worksheet</w:t>
      </w:r>
    </w:p>
    <w:bookmarkStart w:id="46" w:name="Xd43559fb895ebe8ad8981120a39ea8d83ebaae3"/>
    <w:p>
      <w:pPr>
        <w:pStyle w:val="Heading2"/>
      </w:pPr>
      <w:r>
        <w:t xml:space="preserve">South Africa — Middle-income coal-dependent pair</w:t>
      </w:r>
    </w:p>
    <w:p>
      <w:pPr>
        <w:pStyle w:val="FirstParagraph"/>
      </w:pPr>
      <w:r>
        <w:rPr>
          <w:i/>
          <w:iCs/>
        </w:rPr>
        <w:t xml:space="preserve">IR227 Seminar 4 — Group worksheet</w:t>
      </w:r>
    </w:p>
    <w:bookmarkStart w:id="41" w:name="task-3"/>
    <w:p>
      <w:pPr>
        <w:pStyle w:val="Heading3"/>
      </w:pPr>
      <w:r>
        <w:t xml:space="preserve">Task</w:t>
      </w:r>
    </w:p>
    <w:p>
      <w:pPr>
        <w:pStyle w:val="FirstParagraph"/>
      </w:pPr>
      <w:r>
        <w:t xml:space="preserve">Take your assigned country’s energy or sustainability transition and diagnose it using three frameworks. Map the regime as a configuration, the niches pressing against it, and the landscape pressures acting on it. Then map how governing authority is distributed across levels, and assess whether the system is more polycentric or more monocentric. Close with a brief comparative reflection on your paired country.</w:t>
      </w:r>
    </w:p>
    <w:p>
      <w:pPr>
        <w:pStyle w:val="BodyText"/>
      </w:pPr>
      <w:r>
        <w:t xml:space="preserve">The analytical tools you will deploy are: the Multi-Level Perspective (MLP), the Type-I/Type-II multi-level-governance (MLG) distinction, and the polycentric-governance approach.</w:t>
      </w:r>
    </w:p>
    <w:bookmarkEnd w:id="41"/>
    <w:bookmarkStart w:id="42" w:name="requirements-3"/>
    <w:p>
      <w:pPr>
        <w:pStyle w:val="Heading3"/>
      </w:pPr>
      <w:r>
        <w:t xml:space="preserve">Requirements</w:t>
      </w:r>
    </w:p>
    <w:p>
      <w:pPr>
        <w:pStyle w:val="Compact"/>
        <w:numPr>
          <w:ilvl w:val="0"/>
          <w:numId w:val="1016"/>
        </w:numPr>
      </w:pPr>
      <w:r>
        <w:t xml:space="preserve">identify the regime as a configuration — technologies, institutions, practices, actor networks, and investments, not just a technology,</w:t>
      </w:r>
    </w:p>
    <w:p>
      <w:pPr>
        <w:pStyle w:val="Compact"/>
        <w:numPr>
          <w:ilvl w:val="0"/>
          <w:numId w:val="1016"/>
        </w:numPr>
      </w:pPr>
      <w:r>
        <w:t xml:space="preserve">name two or three relevant niches and explain how each is protected,</w:t>
      </w:r>
    </w:p>
    <w:p>
      <w:pPr>
        <w:pStyle w:val="Compact"/>
        <w:numPr>
          <w:ilvl w:val="0"/>
          <w:numId w:val="1016"/>
        </w:numPr>
      </w:pPr>
      <w:r>
        <w:t xml:space="preserve">identify the dominant landscape pressures acting on the regime,</w:t>
      </w:r>
    </w:p>
    <w:p>
      <w:pPr>
        <w:pStyle w:val="Compact"/>
        <w:numPr>
          <w:ilvl w:val="0"/>
          <w:numId w:val="1016"/>
        </w:numPr>
      </w:pPr>
      <w:r>
        <w:t xml:space="preserve">map the multi-level governance structure: which authorities exist at which levels, and whether the relationships among them look nested and general-purpose, overlapping and task-specific, or some mix of both,</w:t>
      </w:r>
    </w:p>
    <w:p>
      <w:pPr>
        <w:pStyle w:val="Compact"/>
        <w:numPr>
          <w:ilvl w:val="0"/>
          <w:numId w:val="1016"/>
        </w:numPr>
      </w:pPr>
      <w:r>
        <w:t xml:space="preserve">deliver a verdict on whether the system is more polycentric or more monocentric, and defend it by naming the coordinating centres you found (or didn’t find), and</w:t>
      </w:r>
    </w:p>
    <w:p>
      <w:pPr>
        <w:pStyle w:val="Compact"/>
        <w:numPr>
          <w:ilvl w:val="0"/>
          <w:numId w:val="1016"/>
        </w:numPr>
      </w:pPr>
      <w:r>
        <w:t xml:space="preserve">close with a comparative reflection on the paired case.</w:t>
      </w:r>
    </w:p>
    <w:p>
      <w:pPr>
        <w:pStyle w:val="FirstParagraph"/>
      </w:pPr>
      <w:r>
        <w:t xml:space="preserve">Note: these cases are deliberately under-determined. There is no single correct verdict — you will be assessed on the strength of the reasoning chain (regime/niche/landscape mapping → governance-structure mapping → polycentric verdict → comparative reflection), not on which verdict you reach.</w:t>
      </w:r>
    </w:p>
    <w:bookmarkEnd w:id="42"/>
    <w:bookmarkStart w:id="43" w:name="tool-summary-3"/>
    <w:p>
      <w:pPr>
        <w:pStyle w:val="Heading3"/>
      </w:pPr>
      <w:r>
        <w:t xml:space="preserve">Tool summary</w:t>
      </w:r>
    </w:p>
    <w:p>
      <w:pPr>
        <w:pStyle w:val="FirstParagraph"/>
      </w:pPr>
      <w:r>
        <w:rPr>
          <w:b/>
          <w:bCs/>
        </w:rPr>
        <w:t xml:space="preserve">Multi-Level Perspective (Geels 2011).</w:t>
      </w:r>
      <w:r>
        <w:t xml:space="preserve"> </w:t>
      </w:r>
      <w:r>
        <w:t xml:space="preserve">A regime is a configuration, not a technology — ask what’s stable and what’s under pressure.</w:t>
      </w:r>
    </w:p>
    <w:p>
      <w:pPr>
        <w:pStyle w:val="Compact"/>
        <w:numPr>
          <w:ilvl w:val="0"/>
          <w:numId w:val="1017"/>
        </w:numPr>
      </w:pPr>
      <w:r>
        <w:t xml:space="preserve">Landscape — slow-moving contextual conditions: macroeconomics, demographics, cultural values, environmental pressures, geopolitics.</w:t>
      </w:r>
    </w:p>
    <w:p>
      <w:pPr>
        <w:pStyle w:val="Compact"/>
        <w:numPr>
          <w:ilvl w:val="0"/>
          <w:numId w:val="1017"/>
        </w:numPr>
      </w:pPr>
      <w:r>
        <w:t xml:space="preserve">Regime — the dominant configuration: technologies + institutions + practices + actor networks + investments.</w:t>
      </w:r>
    </w:p>
    <w:p>
      <w:pPr>
        <w:pStyle w:val="Compact"/>
        <w:numPr>
          <w:ilvl w:val="0"/>
          <w:numId w:val="1017"/>
        </w:numPr>
      </w:pPr>
      <w:r>
        <w:t xml:space="preserve">Niche — where radical innovations emerge, protected from regime selection pressures.</w:t>
      </w:r>
    </w:p>
    <w:p>
      <w:pPr>
        <w:pStyle w:val="FirstParagraph"/>
      </w:pPr>
      <w:r>
        <w:t xml:space="preserve">Transitions require alignment: landscape pressure + regime opening + niche maturity.</w:t>
      </w:r>
    </w:p>
    <w:p>
      <w:pPr>
        <w:pStyle w:val="BodyText"/>
      </w:pPr>
      <w:r>
        <w:rPr>
          <w:b/>
          <w:bCs/>
        </w:rPr>
        <w:t xml:space="preserve">MLG types (Hooghe and Marks 2003).</w:t>
      </w:r>
      <w:r>
        <w:t xml:space="preserve"> </w:t>
      </w:r>
      <w:r>
        <w:t xml:space="preserve">Ask whether governing relationships across levels are nested and general-purpose, or overlapping and task-specific.</w:t>
      </w:r>
    </w:p>
    <w:p>
      <w:pPr>
        <w:pStyle w:val="Compact"/>
        <w:numPr>
          <w:ilvl w:val="0"/>
          <w:numId w:val="1018"/>
        </w:numPr>
      </w:pPr>
      <w:r>
        <w:t xml:space="preserve">Type I — nested territorial jurisdictions, general-purpose competence. Federal-style.</w:t>
      </w:r>
    </w:p>
    <w:p>
      <w:pPr>
        <w:pStyle w:val="Compact"/>
        <w:numPr>
          <w:ilvl w:val="0"/>
          <w:numId w:val="1018"/>
        </w:numPr>
      </w:pPr>
      <w:r>
        <w:t xml:space="preserve">Type II — overlapping, non-nested, task-specific jurisdictions. Functional-style.</w:t>
      </w:r>
    </w:p>
    <w:p>
      <w:pPr>
        <w:pStyle w:val="FirstParagraph"/>
      </w:pPr>
      <w:r>
        <w:t xml:space="preserve">Real systems are usually hybrid.</w:t>
      </w:r>
    </w:p>
    <w:p>
      <w:pPr>
        <w:pStyle w:val="BodyText"/>
      </w:pPr>
      <w:r>
        <w:rPr>
          <w:b/>
          <w:bCs/>
        </w:rPr>
        <w:t xml:space="preserve">Polycentric vs. monocentric (Ostrom 2014).</w:t>
      </w:r>
      <w:r>
        <w:t xml:space="preserve"> </w:t>
      </w:r>
      <w:r>
        <w:t xml:space="preserve">Ask how many genuinely independent coordinating centres exist, and whether they coordinate through shared rules rather than a single hierarchy.</w:t>
      </w:r>
    </w:p>
    <w:p>
      <w:pPr>
        <w:pStyle w:val="Compact"/>
        <w:numPr>
          <w:ilvl w:val="0"/>
          <w:numId w:val="1019"/>
        </w:numPr>
      </w:pPr>
      <w:r>
        <w:t xml:space="preserve">Polycentric — multiple, partially-autonomous centres coordinating through shared rules and information; no single dominant authority.</w:t>
      </w:r>
    </w:p>
    <w:p>
      <w:pPr>
        <w:pStyle w:val="Compact"/>
        <w:numPr>
          <w:ilvl w:val="0"/>
          <w:numId w:val="1019"/>
        </w:numPr>
      </w:pPr>
      <w:r>
        <w:t xml:space="preserve">Monocentric — a single hierarchical authority.</w:t>
      </w:r>
    </w:p>
    <w:p>
      <w:pPr>
        <w:pStyle w:val="Compact"/>
        <w:numPr>
          <w:ilvl w:val="0"/>
          <w:numId w:val="1019"/>
        </w:numPr>
      </w:pPr>
      <w:r>
        <w:t xml:space="preserve">Decentralised is not the same as polycentric: a decentralised system can still have one locus that has simply chosen to delegate.</w:t>
      </w:r>
    </w:p>
    <w:bookmarkEnd w:id="43"/>
    <w:bookmarkStart w:id="44" w:name="case-specifics-from-the-case-pack-3"/>
    <w:p>
      <w:pPr>
        <w:pStyle w:val="Heading3"/>
      </w:pPr>
      <w:r>
        <w:t xml:space="preserve">Case specifics (from the case pack)</w:t>
      </w:r>
    </w:p>
    <w:p>
      <w:pPr>
        <w:pStyle w:val="FirstParagraph"/>
      </w:pPr>
      <w:r>
        <w:t xml:space="preserve">South Africa’s just energy transition is structured around two simultaneous challenges: decarbonising coal-fired electricity and unbundling the troubled state utility Eskom. Eskom’s debt crisis, ongoing load-shedding, and the political-economic alliance between mining, utility, and organised labour create a distinctive dynamic. JETP commitments (pledged 2021) coexist with significant coal-region politics in Mpumalanga and a labour movement that, through NUMSA and COSATU, actively shapes the just-transition framing.</w:t>
      </w:r>
    </w:p>
    <w:p>
      <w:pPr>
        <w:pStyle w:val="BodyText"/>
      </w:pPr>
      <w:r>
        <w:t xml:space="preserve">Coal-fired electricity, run by an ageing fleet under Eskom, still anchors the system, sustained in part by a strong professional engineering identity tied to coal-power generation. Utility-scale renewables (solar, wind), independent power producers procured through REIPPPP, distributed solar (driven partly by load-shedding), and gas-import options represent the alternative pathways in play. The JETP commitments, Eskom’s debt crisis, ongoing load-shedding, and labour-union just-transition advocacy all press on the system at once. Eskom and national government hold primary authority over generation and transmission, provinces have limited formal authority over energy policy, and JETP donor partners coordinate financing alongside National Treasury’s Eskom debt-restructuring process. Eskom, the mining sector, and organised labour (NUMSA, COSATU) have long been aligned around coal-fired generation; Eskom’s planned unbundling into separate generation, transmission, and distribution entities has proceeded slowly, while NUMSA and COSATU have built their own active just-transition policy platform.</w:t>
      </w:r>
    </w:p>
    <w:bookmarkEnd w:id="44"/>
    <w:bookmarkStart w:id="45" w:name="X3132ccfbd4a825aee823f86eb155173dcf9a708"/>
    <w:p>
      <w:pPr>
        <w:pStyle w:val="Heading3"/>
      </w:pPr>
      <w:r>
        <w:t xml:space="preserve">Discussion questions from the case pack</w:t>
      </w:r>
    </w:p>
    <w:p>
      <w:pPr>
        <w:pStyle w:val="Compact"/>
        <w:numPr>
          <w:ilvl w:val="0"/>
          <w:numId w:val="1020"/>
        </w:numPr>
      </w:pPr>
      <w:r>
        <w:t xml:space="preserve">What does the mining-utility-labour alliance tell you about the kinds of regime resistance MLP needs to theorise?</w:t>
      </w:r>
    </w:p>
    <w:p>
      <w:pPr>
        <w:pStyle w:val="Compact"/>
        <w:numPr>
          <w:ilvl w:val="0"/>
          <w:numId w:val="1020"/>
        </w:numPr>
      </w:pPr>
      <w:r>
        <w:t xml:space="preserve">How does Eskom’s structural dominance interact with South Africa’s governance architecture — does the country’s day-to-day energy governance work the way its formal multi-level structures suggest?</w:t>
      </w:r>
    </w:p>
    <w:p>
      <w:pPr>
        <w:pStyle w:val="Compact"/>
        <w:numPr>
          <w:ilvl w:val="0"/>
          <w:numId w:val="1020"/>
        </w:numPr>
      </w:pPr>
      <w:r>
        <w:t xml:space="preserve">Where is cross-level or cross-actor coordination strongest — provincial just-transition planning, donor partnerships, or IPP procurement?</w:t>
      </w:r>
    </w:p>
    <w:p>
      <w:pPr>
        <w:pStyle w:val="Compact"/>
        <w:numPr>
          <w:ilvl w:val="0"/>
          <w:numId w:val="1020"/>
        </w:numPr>
      </w:pPr>
      <w:r>
        <w:t xml:space="preserve">Comparative reflection: compare to Indonesia — both face heavy regime resistance, but the structures differ. What’s the analytical move that explains the contrast?</w:t>
      </w:r>
    </w:p>
    <w:p>
      <w:r>
        <w:br w:type="page"/>
      </w:r>
    </w:p>
    <w:bookmarkEnd w:id="45"/>
    <w:bookmarkEnd w:id="46"/>
    <w:bookmarkEnd w:id="47"/>
    <w:bookmarkStart w:id="54" w:name="X0f5b5316678facb9d3744716c3732eef2ee2808"/>
    <w:p>
      <w:pPr>
        <w:pStyle w:val="Heading1"/>
      </w:pPr>
      <w:r>
        <w:t xml:space="preserve">Governing a Sustainability Transition — Worksheet</w:t>
      </w:r>
    </w:p>
    <w:bookmarkStart w:id="53" w:name="X6666bfd5eb21967b908bd0c19f20ba0f0f837eb"/>
    <w:p>
      <w:pPr>
        <w:pStyle w:val="Heading2"/>
      </w:pPr>
      <w:r>
        <w:t xml:space="preserve">Kenya — Resource-constrained niche-led pair</w:t>
      </w:r>
    </w:p>
    <w:p>
      <w:pPr>
        <w:pStyle w:val="FirstParagraph"/>
      </w:pPr>
      <w:r>
        <w:rPr>
          <w:i/>
          <w:iCs/>
        </w:rPr>
        <w:t xml:space="preserve">IR227 Seminar 4 — Group worksheet</w:t>
      </w:r>
    </w:p>
    <w:bookmarkStart w:id="48" w:name="task-4"/>
    <w:p>
      <w:pPr>
        <w:pStyle w:val="Heading3"/>
      </w:pPr>
      <w:r>
        <w:t xml:space="preserve">Task</w:t>
      </w:r>
    </w:p>
    <w:p>
      <w:pPr>
        <w:pStyle w:val="FirstParagraph"/>
      </w:pPr>
      <w:r>
        <w:t xml:space="preserve">Take your assigned country’s energy or sustainability transition and diagnose it using three frameworks. Map the regime as a configuration, the niches pressing against it, and the landscape pressures acting on it. Then map how governing authority is distributed across levels, and assess whether the system is more polycentric or more monocentric. Close with a brief comparative reflection on your paired country.</w:t>
      </w:r>
    </w:p>
    <w:p>
      <w:pPr>
        <w:pStyle w:val="BodyText"/>
      </w:pPr>
      <w:r>
        <w:t xml:space="preserve">The analytical tools you will deploy are: the Multi-Level Perspective (MLP), the Type-I/Type-II multi-level-governance (MLG) distinction, and the polycentric-governance approach.</w:t>
      </w:r>
    </w:p>
    <w:bookmarkEnd w:id="48"/>
    <w:bookmarkStart w:id="49" w:name="requirements-4"/>
    <w:p>
      <w:pPr>
        <w:pStyle w:val="Heading3"/>
      </w:pPr>
      <w:r>
        <w:t xml:space="preserve">Requirements</w:t>
      </w:r>
    </w:p>
    <w:p>
      <w:pPr>
        <w:pStyle w:val="Compact"/>
        <w:numPr>
          <w:ilvl w:val="0"/>
          <w:numId w:val="1021"/>
        </w:numPr>
      </w:pPr>
      <w:r>
        <w:t xml:space="preserve">identify the regime as a configuration — technologies, institutions, practices, actor networks, and investments, not just a technology,</w:t>
      </w:r>
    </w:p>
    <w:p>
      <w:pPr>
        <w:pStyle w:val="Compact"/>
        <w:numPr>
          <w:ilvl w:val="0"/>
          <w:numId w:val="1021"/>
        </w:numPr>
      </w:pPr>
      <w:r>
        <w:t xml:space="preserve">name two or three relevant niches and explain how each is protected,</w:t>
      </w:r>
    </w:p>
    <w:p>
      <w:pPr>
        <w:pStyle w:val="Compact"/>
        <w:numPr>
          <w:ilvl w:val="0"/>
          <w:numId w:val="1021"/>
        </w:numPr>
      </w:pPr>
      <w:r>
        <w:t xml:space="preserve">identify the dominant landscape pressures acting on the regime,</w:t>
      </w:r>
    </w:p>
    <w:p>
      <w:pPr>
        <w:pStyle w:val="Compact"/>
        <w:numPr>
          <w:ilvl w:val="0"/>
          <w:numId w:val="1021"/>
        </w:numPr>
      </w:pPr>
      <w:r>
        <w:t xml:space="preserve">map the multi-level governance structure: which authorities exist at which levels, and whether the relationships among them look nested and general-purpose, overlapping and task-specific, or some mix of both,</w:t>
      </w:r>
    </w:p>
    <w:p>
      <w:pPr>
        <w:pStyle w:val="Compact"/>
        <w:numPr>
          <w:ilvl w:val="0"/>
          <w:numId w:val="1021"/>
        </w:numPr>
      </w:pPr>
      <w:r>
        <w:t xml:space="preserve">deliver a verdict on whether the system is more polycentric or more monocentric, and defend it by naming the coordinating centres you found (or didn’t find), and</w:t>
      </w:r>
    </w:p>
    <w:p>
      <w:pPr>
        <w:pStyle w:val="Compact"/>
        <w:numPr>
          <w:ilvl w:val="0"/>
          <w:numId w:val="1021"/>
        </w:numPr>
      </w:pPr>
      <w:r>
        <w:t xml:space="preserve">close with a comparative reflection on the paired case.</w:t>
      </w:r>
    </w:p>
    <w:p>
      <w:pPr>
        <w:pStyle w:val="FirstParagraph"/>
      </w:pPr>
      <w:r>
        <w:t xml:space="preserve">Note: these cases are deliberately under-determined. There is no single correct verdict — you will be assessed on the strength of the reasoning chain (regime/niche/landscape mapping → governance-structure mapping → polycentric verdict → comparative reflection), not on which verdict you reach.</w:t>
      </w:r>
    </w:p>
    <w:bookmarkEnd w:id="49"/>
    <w:bookmarkStart w:id="50" w:name="tool-summary-4"/>
    <w:p>
      <w:pPr>
        <w:pStyle w:val="Heading3"/>
      </w:pPr>
      <w:r>
        <w:t xml:space="preserve">Tool summary</w:t>
      </w:r>
    </w:p>
    <w:p>
      <w:pPr>
        <w:pStyle w:val="FirstParagraph"/>
      </w:pPr>
      <w:r>
        <w:rPr>
          <w:b/>
          <w:bCs/>
        </w:rPr>
        <w:t xml:space="preserve">Multi-Level Perspective (Geels 2011).</w:t>
      </w:r>
      <w:r>
        <w:t xml:space="preserve"> </w:t>
      </w:r>
      <w:r>
        <w:t xml:space="preserve">A regime is a configuration, not a technology — ask what’s stable and what’s under pressure.</w:t>
      </w:r>
    </w:p>
    <w:p>
      <w:pPr>
        <w:pStyle w:val="Compact"/>
        <w:numPr>
          <w:ilvl w:val="0"/>
          <w:numId w:val="1022"/>
        </w:numPr>
      </w:pPr>
      <w:r>
        <w:t xml:space="preserve">Landscape — slow-moving contextual conditions: macroeconomics, demographics, cultural values, environmental pressures, geopolitics.</w:t>
      </w:r>
    </w:p>
    <w:p>
      <w:pPr>
        <w:pStyle w:val="Compact"/>
        <w:numPr>
          <w:ilvl w:val="0"/>
          <w:numId w:val="1022"/>
        </w:numPr>
      </w:pPr>
      <w:r>
        <w:t xml:space="preserve">Regime — the dominant configuration: technologies + institutions + practices + actor networks + investments.</w:t>
      </w:r>
    </w:p>
    <w:p>
      <w:pPr>
        <w:pStyle w:val="Compact"/>
        <w:numPr>
          <w:ilvl w:val="0"/>
          <w:numId w:val="1022"/>
        </w:numPr>
      </w:pPr>
      <w:r>
        <w:t xml:space="preserve">Niche — where radical innovations emerge, protected from regime selection pressures.</w:t>
      </w:r>
    </w:p>
    <w:p>
      <w:pPr>
        <w:pStyle w:val="FirstParagraph"/>
      </w:pPr>
      <w:r>
        <w:t xml:space="preserve">Transitions require alignment: landscape pressure + regime opening + niche maturity.</w:t>
      </w:r>
    </w:p>
    <w:p>
      <w:pPr>
        <w:pStyle w:val="BodyText"/>
      </w:pPr>
      <w:r>
        <w:rPr>
          <w:b/>
          <w:bCs/>
        </w:rPr>
        <w:t xml:space="preserve">MLG types (Hooghe and Marks 2003).</w:t>
      </w:r>
      <w:r>
        <w:t xml:space="preserve"> </w:t>
      </w:r>
      <w:r>
        <w:t xml:space="preserve">Ask whether governing relationships across levels are nested and general-purpose, or overlapping and task-specific.</w:t>
      </w:r>
    </w:p>
    <w:p>
      <w:pPr>
        <w:pStyle w:val="Compact"/>
        <w:numPr>
          <w:ilvl w:val="0"/>
          <w:numId w:val="1023"/>
        </w:numPr>
      </w:pPr>
      <w:r>
        <w:t xml:space="preserve">Type I — nested territorial jurisdictions, general-purpose competence. Federal-style.</w:t>
      </w:r>
    </w:p>
    <w:p>
      <w:pPr>
        <w:pStyle w:val="Compact"/>
        <w:numPr>
          <w:ilvl w:val="0"/>
          <w:numId w:val="1023"/>
        </w:numPr>
      </w:pPr>
      <w:r>
        <w:t xml:space="preserve">Type II — overlapping, non-nested, task-specific jurisdictions. Functional-style.</w:t>
      </w:r>
    </w:p>
    <w:p>
      <w:pPr>
        <w:pStyle w:val="FirstParagraph"/>
      </w:pPr>
      <w:r>
        <w:t xml:space="preserve">Real systems are usually hybrid.</w:t>
      </w:r>
    </w:p>
    <w:p>
      <w:pPr>
        <w:pStyle w:val="BodyText"/>
      </w:pPr>
      <w:r>
        <w:rPr>
          <w:b/>
          <w:bCs/>
        </w:rPr>
        <w:t xml:space="preserve">Polycentric vs. monocentric (Ostrom 2014).</w:t>
      </w:r>
      <w:r>
        <w:t xml:space="preserve"> </w:t>
      </w:r>
      <w:r>
        <w:t xml:space="preserve">Ask how many genuinely independent coordinating centres exist, and whether they coordinate through shared rules rather than a single hierarchy.</w:t>
      </w:r>
    </w:p>
    <w:p>
      <w:pPr>
        <w:pStyle w:val="Compact"/>
        <w:numPr>
          <w:ilvl w:val="0"/>
          <w:numId w:val="1024"/>
        </w:numPr>
      </w:pPr>
      <w:r>
        <w:t xml:space="preserve">Polycentric — multiple, partially-autonomous centres coordinating through shared rules and information; no single dominant authority.</w:t>
      </w:r>
    </w:p>
    <w:p>
      <w:pPr>
        <w:pStyle w:val="Compact"/>
        <w:numPr>
          <w:ilvl w:val="0"/>
          <w:numId w:val="1024"/>
        </w:numPr>
      </w:pPr>
      <w:r>
        <w:t xml:space="preserve">Monocentric — a single hierarchical authority.</w:t>
      </w:r>
    </w:p>
    <w:p>
      <w:pPr>
        <w:pStyle w:val="Compact"/>
        <w:numPr>
          <w:ilvl w:val="0"/>
          <w:numId w:val="1024"/>
        </w:numPr>
      </w:pPr>
      <w:r>
        <w:t xml:space="preserve">Decentralised is not the same as polycentric: a decentralised system can still have one locus that has simply chosen to delegate.</w:t>
      </w:r>
    </w:p>
    <w:bookmarkEnd w:id="50"/>
    <w:bookmarkStart w:id="51" w:name="case-specifics-from-the-case-pack-4"/>
    <w:p>
      <w:pPr>
        <w:pStyle w:val="Heading3"/>
      </w:pPr>
      <w:r>
        <w:t xml:space="preserve">Case specifics (from the case pack)</w:t>
      </w:r>
    </w:p>
    <w:p>
      <w:pPr>
        <w:pStyle w:val="FirstParagraph"/>
      </w:pPr>
      <w:r>
        <w:t xml:space="preserve">Kenya’s energy transition has two distinct trajectories that have substantially scaled. Geothermal generation at the Olkaria complex has become Africa’s largest geothermal site, anchored by KenGen and KETRACO. In parallel, the off-grid solar sector has scaled through private companies (M-KOPA, Sun King, BBOXX) serving millions of households outside the grid, supported by the post-2010 county system that gives sub-national authorities substantial energy-access mandates.</w:t>
      </w:r>
    </w:p>
    <w:p>
      <w:pPr>
        <w:pStyle w:val="BodyText"/>
      </w:pPr>
      <w:r>
        <w:t xml:space="preserve">Grid electricity has historically run on hydropower plus thermal plants under KenGen, with KETRACO handling transmission and county governments (since the 2010 constitution) handling distribution details. Geothermal at Olkaria, distributed solar (M-KOPA, Sun King, BBOXX), distributed mini-grids, and pay-as-you-go financing models have all scaled substantially alongside the grid. Climate-adaptation pressures, donor priorities since 2010, the technology cost crash in solar and Li-ion batteries, and county-level political demand for energy access all shape the picture. KenGen and KETRACO hold national authority over generation and transmission; Kenya’s 47 counties hold authority over rural-electrification details; the private off-grid providers run their own commercial distribution networks; donor programmes coordinate funding; and international standards bodies certify off-grid solar product quality.</w:t>
      </w:r>
    </w:p>
    <w:bookmarkEnd w:id="51"/>
    <w:bookmarkStart w:id="52" w:name="X387aa0d96432d7cba40b082af2f4743f5cc1d68"/>
    <w:p>
      <w:pPr>
        <w:pStyle w:val="Heading3"/>
      </w:pPr>
      <w:r>
        <w:t xml:space="preserve">Discussion questions from the case pack</w:t>
      </w:r>
    </w:p>
    <w:p>
      <w:pPr>
        <w:pStyle w:val="Compact"/>
        <w:numPr>
          <w:ilvl w:val="0"/>
          <w:numId w:val="1025"/>
        </w:numPr>
      </w:pPr>
      <w:r>
        <w:t xml:space="preserve">Does the off-grid solar ecosystem constitute a separate regime from the grid system, or is it a niche that has scaled?</w:t>
      </w:r>
    </w:p>
    <w:p>
      <w:pPr>
        <w:pStyle w:val="Compact"/>
        <w:numPr>
          <w:ilvl w:val="0"/>
          <w:numId w:val="1025"/>
        </w:numPr>
      </w:pPr>
      <w:r>
        <w:t xml:space="preserve">What does the answer tell you about how the regime-niche distinction applies in non-OECD contexts?</w:t>
      </w:r>
    </w:p>
    <w:p>
      <w:pPr>
        <w:pStyle w:val="Compact"/>
        <w:numPr>
          <w:ilvl w:val="0"/>
          <w:numId w:val="1025"/>
        </w:numPr>
      </w:pPr>
      <w:r>
        <w:t xml:space="preserve">Which features of Kenya’s governance structure enabled niche scaling?</w:t>
      </w:r>
    </w:p>
    <w:p>
      <w:pPr>
        <w:pStyle w:val="Compact"/>
        <w:numPr>
          <w:ilvl w:val="0"/>
          <w:numId w:val="1025"/>
        </w:numPr>
      </w:pPr>
      <w:r>
        <w:t xml:space="preserve">Comparative reflection: compare to Bangladesh’s Solar Home Systems experience — different sectoral focus, different governance architecture, similar niche-led trajectory. What can we learn from the contrast?</w:t>
      </w:r>
    </w:p>
    <w:p>
      <w:r>
        <w:br w:type="page"/>
      </w:r>
    </w:p>
    <w:bookmarkEnd w:id="52"/>
    <w:bookmarkEnd w:id="53"/>
    <w:bookmarkEnd w:id="54"/>
    <w:bookmarkStart w:id="61" w:name="X45c0458fe308efb8c798e22f53479c408ce51fe"/>
    <w:p>
      <w:pPr>
        <w:pStyle w:val="Heading1"/>
      </w:pPr>
      <w:r>
        <w:t xml:space="preserve">Governing a Sustainability Transition — Worksheet</w:t>
      </w:r>
    </w:p>
    <w:bookmarkStart w:id="60" w:name="Xaa7744c700a581a98550b1e0911e964b0ebbe87"/>
    <w:p>
      <w:pPr>
        <w:pStyle w:val="Heading2"/>
      </w:pPr>
      <w:r>
        <w:t xml:space="preserve">Bangladesh — Resource-constrained niche-led pair</w:t>
      </w:r>
    </w:p>
    <w:p>
      <w:pPr>
        <w:pStyle w:val="FirstParagraph"/>
      </w:pPr>
      <w:r>
        <w:rPr>
          <w:i/>
          <w:iCs/>
        </w:rPr>
        <w:t xml:space="preserve">IR227 Seminar 4 — Group worksheet</w:t>
      </w:r>
    </w:p>
    <w:bookmarkStart w:id="55" w:name="task-5"/>
    <w:p>
      <w:pPr>
        <w:pStyle w:val="Heading3"/>
      </w:pPr>
      <w:r>
        <w:t xml:space="preserve">Task</w:t>
      </w:r>
    </w:p>
    <w:p>
      <w:pPr>
        <w:pStyle w:val="FirstParagraph"/>
      </w:pPr>
      <w:r>
        <w:t xml:space="preserve">Take your assigned country’s energy or sustainability transition and diagnose it using three frameworks. Map the regime as a configuration, the niches pressing against it, and the landscape pressures acting on it. Then map how governing authority is distributed across levels, and assess whether the system is more polycentric or more monocentric. Close with a brief comparative reflection on your paired country.</w:t>
      </w:r>
    </w:p>
    <w:p>
      <w:pPr>
        <w:pStyle w:val="BodyText"/>
      </w:pPr>
      <w:r>
        <w:t xml:space="preserve">The analytical tools you will deploy are: the Multi-Level Perspective (MLP), the Type-I/Type-II multi-level-governance (MLG) distinction, and the polycentric-governance approach.</w:t>
      </w:r>
    </w:p>
    <w:bookmarkEnd w:id="55"/>
    <w:bookmarkStart w:id="56" w:name="requirements-5"/>
    <w:p>
      <w:pPr>
        <w:pStyle w:val="Heading3"/>
      </w:pPr>
      <w:r>
        <w:t xml:space="preserve">Requirements</w:t>
      </w:r>
    </w:p>
    <w:p>
      <w:pPr>
        <w:pStyle w:val="Compact"/>
        <w:numPr>
          <w:ilvl w:val="0"/>
          <w:numId w:val="1026"/>
        </w:numPr>
      </w:pPr>
      <w:r>
        <w:t xml:space="preserve">identify the regime as a configuration — technologies, institutions, practices, actor networks, and investments, not just a technology,</w:t>
      </w:r>
    </w:p>
    <w:p>
      <w:pPr>
        <w:pStyle w:val="Compact"/>
        <w:numPr>
          <w:ilvl w:val="0"/>
          <w:numId w:val="1026"/>
        </w:numPr>
      </w:pPr>
      <w:r>
        <w:t xml:space="preserve">name two or three relevant niches and explain how each is protected,</w:t>
      </w:r>
    </w:p>
    <w:p>
      <w:pPr>
        <w:pStyle w:val="Compact"/>
        <w:numPr>
          <w:ilvl w:val="0"/>
          <w:numId w:val="1026"/>
        </w:numPr>
      </w:pPr>
      <w:r>
        <w:t xml:space="preserve">identify the dominant landscape pressures acting on the regime,</w:t>
      </w:r>
    </w:p>
    <w:p>
      <w:pPr>
        <w:pStyle w:val="Compact"/>
        <w:numPr>
          <w:ilvl w:val="0"/>
          <w:numId w:val="1026"/>
        </w:numPr>
      </w:pPr>
      <w:r>
        <w:t xml:space="preserve">map the multi-level governance structure: which authorities exist at which levels, and whether the relationships among them look nested and general-purpose, overlapping and task-specific, or some mix of both,</w:t>
      </w:r>
    </w:p>
    <w:p>
      <w:pPr>
        <w:pStyle w:val="Compact"/>
        <w:numPr>
          <w:ilvl w:val="0"/>
          <w:numId w:val="1026"/>
        </w:numPr>
      </w:pPr>
      <w:r>
        <w:t xml:space="preserve">deliver a verdict on whether the system is more polycentric or more monocentric, and defend it by naming the coordinating centres you found (or didn’t find), and</w:t>
      </w:r>
    </w:p>
    <w:p>
      <w:pPr>
        <w:pStyle w:val="Compact"/>
        <w:numPr>
          <w:ilvl w:val="0"/>
          <w:numId w:val="1026"/>
        </w:numPr>
      </w:pPr>
      <w:r>
        <w:t xml:space="preserve">close with a comparative reflection on the paired case.</w:t>
      </w:r>
    </w:p>
    <w:p>
      <w:pPr>
        <w:pStyle w:val="FirstParagraph"/>
      </w:pPr>
      <w:r>
        <w:t xml:space="preserve">Note: these cases are deliberately under-determined. There is no single correct verdict — you will be assessed on the strength of the reasoning chain (regime/niche/landscape mapping → governance-structure mapping → polycentric verdict → comparative reflection), not on which verdict you reach.</w:t>
      </w:r>
    </w:p>
    <w:bookmarkEnd w:id="56"/>
    <w:bookmarkStart w:id="57" w:name="tool-summary-5"/>
    <w:p>
      <w:pPr>
        <w:pStyle w:val="Heading3"/>
      </w:pPr>
      <w:r>
        <w:t xml:space="preserve">Tool summary</w:t>
      </w:r>
    </w:p>
    <w:p>
      <w:pPr>
        <w:pStyle w:val="FirstParagraph"/>
      </w:pPr>
      <w:r>
        <w:rPr>
          <w:b/>
          <w:bCs/>
        </w:rPr>
        <w:t xml:space="preserve">Multi-Level Perspective (Geels 2011).</w:t>
      </w:r>
      <w:r>
        <w:t xml:space="preserve"> </w:t>
      </w:r>
      <w:r>
        <w:t xml:space="preserve">A regime is a configuration, not a technology — ask what’s stable and what’s under pressure.</w:t>
      </w:r>
    </w:p>
    <w:p>
      <w:pPr>
        <w:pStyle w:val="Compact"/>
        <w:numPr>
          <w:ilvl w:val="0"/>
          <w:numId w:val="1027"/>
        </w:numPr>
      </w:pPr>
      <w:r>
        <w:t xml:space="preserve">Landscape — slow-moving contextual conditions: macroeconomics, demographics, cultural values, environmental pressures, geopolitics.</w:t>
      </w:r>
    </w:p>
    <w:p>
      <w:pPr>
        <w:pStyle w:val="Compact"/>
        <w:numPr>
          <w:ilvl w:val="0"/>
          <w:numId w:val="1027"/>
        </w:numPr>
      </w:pPr>
      <w:r>
        <w:t xml:space="preserve">Regime — the dominant configuration: technologies + institutions + practices + actor networks + investments.</w:t>
      </w:r>
    </w:p>
    <w:p>
      <w:pPr>
        <w:pStyle w:val="Compact"/>
        <w:numPr>
          <w:ilvl w:val="0"/>
          <w:numId w:val="1027"/>
        </w:numPr>
      </w:pPr>
      <w:r>
        <w:t xml:space="preserve">Niche — where radical innovations emerge, protected from regime selection pressures.</w:t>
      </w:r>
    </w:p>
    <w:p>
      <w:pPr>
        <w:pStyle w:val="FirstParagraph"/>
      </w:pPr>
      <w:r>
        <w:t xml:space="preserve">Transitions require alignment: landscape pressure + regime opening + niche maturity.</w:t>
      </w:r>
    </w:p>
    <w:p>
      <w:pPr>
        <w:pStyle w:val="BodyText"/>
      </w:pPr>
      <w:r>
        <w:rPr>
          <w:b/>
          <w:bCs/>
        </w:rPr>
        <w:t xml:space="preserve">MLG types (Hooghe and Marks 2003).</w:t>
      </w:r>
      <w:r>
        <w:t xml:space="preserve"> </w:t>
      </w:r>
      <w:r>
        <w:t xml:space="preserve">Ask whether governing relationships across levels are nested and general-purpose, or overlapping and task-specific.</w:t>
      </w:r>
    </w:p>
    <w:p>
      <w:pPr>
        <w:pStyle w:val="Compact"/>
        <w:numPr>
          <w:ilvl w:val="0"/>
          <w:numId w:val="1028"/>
        </w:numPr>
      </w:pPr>
      <w:r>
        <w:t xml:space="preserve">Type I — nested territorial jurisdictions, general-purpose competence. Federal-style.</w:t>
      </w:r>
    </w:p>
    <w:p>
      <w:pPr>
        <w:pStyle w:val="Compact"/>
        <w:numPr>
          <w:ilvl w:val="0"/>
          <w:numId w:val="1028"/>
        </w:numPr>
      </w:pPr>
      <w:r>
        <w:t xml:space="preserve">Type II — overlapping, non-nested, task-specific jurisdictions. Functional-style.</w:t>
      </w:r>
    </w:p>
    <w:p>
      <w:pPr>
        <w:pStyle w:val="FirstParagraph"/>
      </w:pPr>
      <w:r>
        <w:t xml:space="preserve">Real systems are usually hybrid.</w:t>
      </w:r>
    </w:p>
    <w:p>
      <w:pPr>
        <w:pStyle w:val="BodyText"/>
      </w:pPr>
      <w:r>
        <w:rPr>
          <w:b/>
          <w:bCs/>
        </w:rPr>
        <w:t xml:space="preserve">Polycentric vs. monocentric (Ostrom 2014).</w:t>
      </w:r>
      <w:r>
        <w:t xml:space="preserve"> </w:t>
      </w:r>
      <w:r>
        <w:t xml:space="preserve">Ask how many genuinely independent coordinating centres exist, and whether they coordinate through shared rules rather than a single hierarchy.</w:t>
      </w:r>
    </w:p>
    <w:p>
      <w:pPr>
        <w:pStyle w:val="Compact"/>
        <w:numPr>
          <w:ilvl w:val="0"/>
          <w:numId w:val="1029"/>
        </w:numPr>
      </w:pPr>
      <w:r>
        <w:t xml:space="preserve">Polycentric — multiple, partially-autonomous centres coordinating through shared rules and information; no single dominant authority.</w:t>
      </w:r>
    </w:p>
    <w:p>
      <w:pPr>
        <w:pStyle w:val="Compact"/>
        <w:numPr>
          <w:ilvl w:val="0"/>
          <w:numId w:val="1029"/>
        </w:numPr>
      </w:pPr>
      <w:r>
        <w:t xml:space="preserve">Monocentric — a single hierarchical authority.</w:t>
      </w:r>
    </w:p>
    <w:p>
      <w:pPr>
        <w:pStyle w:val="Compact"/>
        <w:numPr>
          <w:ilvl w:val="0"/>
          <w:numId w:val="1029"/>
        </w:numPr>
      </w:pPr>
      <w:r>
        <w:t xml:space="preserve">Decentralised is not the same as polycentric: a decentralised system can still have one locus that has simply chosen to delegate.</w:t>
      </w:r>
    </w:p>
    <w:bookmarkEnd w:id="57"/>
    <w:bookmarkStart w:id="58" w:name="case-specifics-from-the-case-pack-5"/>
    <w:p>
      <w:pPr>
        <w:pStyle w:val="Heading3"/>
      </w:pPr>
      <w:r>
        <w:t xml:space="preserve">Case specifics (from the case pack)</w:t>
      </w:r>
    </w:p>
    <w:p>
      <w:pPr>
        <w:pStyle w:val="FirstParagraph"/>
      </w:pPr>
      <w:r>
        <w:t xml:space="preserve">Bangladesh has run the world’s largest off-grid solar programme. The IDCOL-anchored Solar Home Systems (SHS) programme deployed about 4.1 million units by 2018, with subsequent expansion into solar irrigation pumps and mini-grids. Climate-adaptation governance is a parallel domain with its own architecture, anchored by the BCCSAP framework and a dense ecosystem of NGOs (BRAC, Grameen Shakti, Grameen Bank) and donor-coordinated partnerships.</w:t>
      </w:r>
    </w:p>
    <w:p>
      <w:pPr>
        <w:pStyle w:val="BodyText"/>
      </w:pPr>
      <w:r>
        <w:t xml:space="preserve">Grid electricity has historically run through the state utility BPDB, under a unitary state with a limited formal sub-national government role, while the IDCOL-anchored Solar Home Systems programme, solar irrigation pumps, mini-grids, and a growing set of climate-adaptation interventions have grown up alongside it. Climate vulnerability (among the highest globally), donor priorities, the strength of the BRAC-and-Grameen NGO ecosystem, and fiscal-space limits all shape what’s possible. IDCOL coordinates financing and standards for the off-grid solar programme and donor partnerships fund parallel climate-adaptation initiatives, but BRAC, Grameen Shakti, Grameen Bank, and the cooperative-banking sector each implement and distribute independently, with their own financing and outreach models, under IDCOL’s overall programme framework.</w:t>
      </w:r>
    </w:p>
    <w:bookmarkEnd w:id="58"/>
    <w:bookmarkStart w:id="59" w:name="X568068362dc8e4133806000961525b2dac20a29"/>
    <w:p>
      <w:pPr>
        <w:pStyle w:val="Heading3"/>
      </w:pPr>
      <w:r>
        <w:t xml:space="preserve">Discussion questions from the case pack</w:t>
      </w:r>
    </w:p>
    <w:p>
      <w:pPr>
        <w:pStyle w:val="Compact"/>
        <w:numPr>
          <w:ilvl w:val="0"/>
          <w:numId w:val="1030"/>
        </w:numPr>
      </w:pPr>
      <w:r>
        <w:t xml:space="preserve">What enabled the SHS programme’s scale — IDCOL’s role, the NGO-implementation infrastructure, the cooperative-banking distribution channel, donor financing, or all of these together?</w:t>
      </w:r>
    </w:p>
    <w:p>
      <w:pPr>
        <w:pStyle w:val="Compact"/>
        <w:numPr>
          <w:ilvl w:val="0"/>
          <w:numId w:val="1030"/>
        </w:numPr>
      </w:pPr>
      <w:r>
        <w:t xml:space="preserve">What does the case tell you about how niche protection works in low-income contexts where state capacity is constrained?</w:t>
      </w:r>
    </w:p>
    <w:p>
      <w:pPr>
        <w:pStyle w:val="Compact"/>
        <w:numPr>
          <w:ilvl w:val="0"/>
          <w:numId w:val="1030"/>
        </w:numPr>
      </w:pPr>
      <w:r>
        <w:t xml:space="preserve">Where would a single centralised implementing agency have struggled?</w:t>
      </w:r>
    </w:p>
    <w:p>
      <w:pPr>
        <w:pStyle w:val="Compact"/>
        <w:numPr>
          <w:ilvl w:val="0"/>
          <w:numId w:val="1030"/>
        </w:numPr>
      </w:pPr>
      <w:r>
        <w:t xml:space="preserve">Comparative reflection: same archetype as Kenya — different sectoral focus, similar niche-led success. What’s the analytical pattern across the two cases?</w:t>
      </w:r>
    </w:p>
    <w:bookmarkEnd w:id="59"/>
    <w:bookmarkEnd w:id="60"/>
    <w:bookmarkEnd w:id="61"/>
    <w:sectPr w:rsidR="0025775B" w:rsidSect="00034616">
      <w:pgSz w:h="15840" w:w="12240"/>
      <w:pgMar w:bottom="1440" w:footer="720" w:gutter="0" w:header="720" w:left="1800" w:right="1800" w:top="1440"/>
      <w:cols w:space="720"/>
      <w:docGrid w:linePitch="36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notTrueType/>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panose1 w:val="020703090202050204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aink="http://schemas.microsoft.com/office/drawing/2016/ink" xmlns:am3d="http://schemas.microsoft.com/office/drawing/2017/model3d"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http://schemas.openxmlformats.org/officeDocument/2006/math" xmlns:mc="http://schemas.openxmlformats.org/markup-compatibility/2006" xmlns:o="urn:schemas-microsoft-com:office:office" xmlns:oel="http://schemas.microsoft.com/office/2019/extlst"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du="http://schemas.microsoft.com/office/word/2023/wordml/word16du" xmlns:w16sdtdh="http://schemas.microsoft.com/office/word/2020/wordml/sdtdatahash" xmlns:w16sdtfl="http://schemas.microsoft.com/office/word/2024/wordml/sdtformatlock"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16cid w16 w16cex w16sdtdh w16sdtfl w16du wp14">
  <w:abstractNum w15:restartNumberingAfterBreak="0" w:abstractNumId="0">
    <w:nsid w:val="FFFFFF7C"/>
    <w:multiLevelType w:val="singleLevel"/>
    <w:tmpl w:val="C310EC42"/>
    <w:lvl w:ilvl="0">
      <w:start w:val="1"/>
      <w:numFmt w:val="decimal"/>
      <w:lvlText w:val="%1."/>
      <w:lvlJc w:val="left"/>
      <w:pPr>
        <w:tabs>
          <w:tab w:pos="1800" w:val="num"/>
        </w:tabs>
        <w:ind w:hanging="360" w:left="1800"/>
      </w:pPr>
    </w:lvl>
  </w:abstractNum>
  <w:abstractNum w15:restartNumberingAfterBreak="0" w:abstractNumId="1">
    <w:nsid w:val="FFFFFF7D"/>
    <w:multiLevelType w:val="singleLevel"/>
    <w:tmpl w:val="E4089024"/>
    <w:lvl w:ilvl="0">
      <w:start w:val="1"/>
      <w:numFmt w:val="decimal"/>
      <w:lvlText w:val="%1."/>
      <w:lvlJc w:val="left"/>
      <w:pPr>
        <w:tabs>
          <w:tab w:pos="1440" w:val="num"/>
        </w:tabs>
        <w:ind w:hanging="360" w:left="1440"/>
      </w:pPr>
    </w:lvl>
  </w:abstractNum>
  <w:abstractNum w15:restartNumberingAfterBreak="0" w:abstractNumId="2">
    <w:nsid w:val="FFFFFF7E"/>
    <w:multiLevelType w:val="singleLevel"/>
    <w:tmpl w:val="FB12693A"/>
    <w:lvl w:ilvl="0">
      <w:start w:val="1"/>
      <w:numFmt w:val="decimal"/>
      <w:pStyle w:val="ListNumber3"/>
      <w:lvlText w:val="%1."/>
      <w:lvlJc w:val="left"/>
      <w:pPr>
        <w:tabs>
          <w:tab w:pos="1080" w:val="num"/>
        </w:tabs>
        <w:ind w:hanging="360" w:left="1080"/>
      </w:pPr>
    </w:lvl>
  </w:abstractNum>
  <w:abstractNum w15:restartNumberingAfterBreak="0" w:abstractNumId="3">
    <w:nsid w:val="FFFFFF7F"/>
    <w:multiLevelType w:val="singleLevel"/>
    <w:tmpl w:val="38441652"/>
    <w:lvl w:ilvl="0">
      <w:start w:val="1"/>
      <w:numFmt w:val="decimal"/>
      <w:pStyle w:val="ListNumber2"/>
      <w:lvlText w:val="%1."/>
      <w:lvlJc w:val="left"/>
      <w:pPr>
        <w:tabs>
          <w:tab w:pos="720" w:val="num"/>
        </w:tabs>
        <w:ind w:hanging="360" w:left="720"/>
      </w:pPr>
    </w:lvl>
  </w:abstractNum>
  <w:abstractNum w15:restartNumberingAfterBreak="0" w:abstractNumId="4">
    <w:nsid w:val="FFFFFF81"/>
    <w:multiLevelType w:val="singleLevel"/>
    <w:tmpl w:val="171AC3A4"/>
    <w:lvl w:ilvl="0">
      <w:start w:val="1"/>
      <w:numFmt w:val="bullet"/>
      <w:lvlText w:val=""/>
      <w:lvlJc w:val="left"/>
      <w:pPr>
        <w:tabs>
          <w:tab w:pos="1440" w:val="num"/>
        </w:tabs>
        <w:ind w:hanging="360" w:left="1440"/>
      </w:pPr>
      <w:rPr>
        <w:rFonts w:ascii="Symbol" w:hAnsi="Symbol" w:hint="default"/>
      </w:rPr>
    </w:lvl>
  </w:abstractNum>
  <w:abstractNum w15:restartNumberingAfterBreak="0" w:abstractNumId="5">
    <w:nsid w:val="FFFFFF82"/>
    <w:multiLevelType w:val="singleLevel"/>
    <w:tmpl w:val="F3EAFDEC"/>
    <w:lvl w:ilvl="0">
      <w:start w:val="1"/>
      <w:numFmt w:val="bullet"/>
      <w:pStyle w:val="ListBullet3"/>
      <w:lvlText w:val=""/>
      <w:lvlJc w:val="left"/>
      <w:pPr>
        <w:tabs>
          <w:tab w:pos="1080" w:val="num"/>
        </w:tabs>
        <w:ind w:hanging="360" w:left="1080"/>
      </w:pPr>
      <w:rPr>
        <w:rFonts w:ascii="Symbol" w:hAnsi="Symbol" w:hint="default"/>
      </w:rPr>
    </w:lvl>
  </w:abstractNum>
  <w:abstractNum w15:restartNumberingAfterBreak="0" w:abstractNumId="6">
    <w:nsid w:val="FFFFFF83"/>
    <w:multiLevelType w:val="singleLevel"/>
    <w:tmpl w:val="3D1EFFD4"/>
    <w:lvl w:ilvl="0">
      <w:start w:val="1"/>
      <w:numFmt w:val="bullet"/>
      <w:pStyle w:val="ListBullet2"/>
      <w:lvlText w:val=""/>
      <w:lvlJc w:val="left"/>
      <w:pPr>
        <w:tabs>
          <w:tab w:pos="720" w:val="num"/>
        </w:tabs>
        <w:ind w:hanging="360" w:left="720"/>
      </w:pPr>
      <w:rPr>
        <w:rFonts w:ascii="Symbol" w:hAnsi="Symbol" w:hint="default"/>
      </w:rPr>
    </w:lvl>
  </w:abstractNum>
  <w:abstractNum w15:restartNumberingAfterBreak="0" w:abstractNumId="7">
    <w:nsid w:val="FFFFFF88"/>
    <w:multiLevelType w:val="singleLevel"/>
    <w:tmpl w:val="D0A62B40"/>
    <w:lvl w:ilvl="0">
      <w:start w:val="1"/>
      <w:numFmt w:val="decimal"/>
      <w:pStyle w:val="ListNumber"/>
      <w:lvlText w:val="%1."/>
      <w:lvlJc w:val="left"/>
      <w:pPr>
        <w:tabs>
          <w:tab w:pos="360" w:val="num"/>
        </w:tabs>
        <w:ind w:hanging="360" w:left="360"/>
      </w:pPr>
    </w:lvl>
  </w:abstractNum>
  <w:abstractNum w15:restartNumberingAfterBreak="0" w:abstractNumId="8">
    <w:nsid w:val="FFFFFF89"/>
    <w:multiLevelType w:val="singleLevel"/>
    <w:tmpl w:val="29761A62"/>
    <w:lvl w:ilvl="0">
      <w:start w:val="1"/>
      <w:numFmt w:val="bullet"/>
      <w:pStyle w:val="ListBullet"/>
      <w:lvlText w:val=""/>
      <w:lvlJc w:val="left"/>
      <w:pPr>
        <w:tabs>
          <w:tab w:pos="360" w:val="num"/>
        </w:tabs>
        <w:ind w:hanging="360" w:left="360"/>
      </w:pPr>
      <w:rPr>
        <w:rFonts w:ascii="Symbol" w:hAnsi="Symbol" w:hint="default"/>
      </w:rPr>
    </w:lvl>
  </w:abstractNum>
  <w:abstractNum w:abstractNumId="990">
    <w:nsid w:val="0000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0000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16cid:durableId="1973555985" w:numId="1">
    <w:abstractNumId w:val="8"/>
  </w:num>
  <w:num w16cid:durableId="1366563869" w:numId="2">
    <w:abstractNumId w:val="6"/>
  </w:num>
  <w:num w16cid:durableId="1202668815" w:numId="3">
    <w:abstractNumId w:val="5"/>
  </w:num>
  <w:num w16cid:durableId="892079298" w:numId="4">
    <w:abstractNumId w:val="4"/>
  </w:num>
  <w:num w16cid:durableId="1506898117" w:numId="5">
    <w:abstractNumId w:val="7"/>
  </w:num>
  <w:num w16cid:durableId="2120489874" w:numId="6">
    <w:abstractNumId w:val="3"/>
  </w:num>
  <w:num w16cid:durableId="1656684556" w:numId="7">
    <w:abstractNumId w:val="2"/>
  </w:num>
  <w:num w16cid:durableId="505946227" w:numId="8">
    <w:abstractNumId w:val="1"/>
  </w:num>
  <w:num w16cid:durableId="617180631" w:numId="9">
    <w:abstractNumId w:val="0"/>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 w:numId="1015">
    <w:abstractNumId w:val="991"/>
  </w:num>
  <w:num w:numId="1016">
    <w:abstractNumId w:val="991"/>
  </w:num>
  <w:num w:numId="1017">
    <w:abstractNumId w:val="991"/>
  </w:num>
  <w:num w:numId="1018">
    <w:abstractNumId w:val="991"/>
  </w:num>
  <w:num w:numId="1019">
    <w:abstractNumId w:val="991"/>
  </w:num>
  <w:num w:numId="1020">
    <w:abstractNumId w:val="991"/>
  </w:num>
  <w:num w:numId="1021">
    <w:abstractNumId w:val="991"/>
  </w:num>
  <w:num w:numId="1022">
    <w:abstractNumId w:val="991"/>
  </w:num>
  <w:num w:numId="1023">
    <w:abstractNumId w:val="991"/>
  </w:num>
  <w:num w:numId="1024">
    <w:abstractNumId w:val="991"/>
  </w:num>
  <w:num w:numId="1025">
    <w:abstractNumId w:val="991"/>
  </w:num>
  <w:num w:numId="1026">
    <w:abstractNumId w:val="991"/>
  </w:num>
  <w:num w:numId="1027">
    <w:abstractNumId w:val="991"/>
  </w:num>
  <w:num w:numId="1028">
    <w:abstractNumId w:val="991"/>
  </w:num>
  <w:num w:numId="1029">
    <w:abstractNumId w:val="991"/>
  </w:num>
  <w:num w:numId="1030">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23"/>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footnotePr>
    <w:footnote w:id="-1"/>
    <w:footnote w:id="0"/>
  </w:foot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25775B"/>
    <w:rsid w:val="0029639D"/>
    <w:rsid w:val="00326F90"/>
    <w:rsid w:val="005D1614"/>
    <w:rsid w:val="00AA1D8D"/>
    <w:rsid w:val="00B47730"/>
    <w:rsid w:val="00CB0664"/>
    <w:rsid w:val="00D4168F"/>
    <w:rsid w:val="00FC693F"/>
  </w:rsids>
  <w:themeFontLang w:eastAsia="ja-JP" w:val="en-US"/>
  <w:clrSchemeMapping w:accent1="accent1" w:accent2="accent2" w:accent3="accent3" w:accent4="accent4" w:accent5="accent5" w:accent6="accent6" w:bg1="light1" w:bg2="light2" w:followedHyperlink="followedHyperlink" w:hyperlink="hyperlink" w:t1="dark1" w:t2="dark2"/>
  <w:doNotAutoCompressPictures/>
  <w:shapeDefaults>
    <o:shapedefaults spidmax="1026" v:ext="edit"/>
    <o:shapelayout v:ext="edit">
      <o:idmap data="1" v:ext="edit"/>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cstheme="minorBidi" w:eastAsiaTheme="minorEastAsia" w:hAnsiTheme="minorHAnsi"/>
        <w:sz w:val="22"/>
        <w:szCs w:val="22"/>
        <w:lang w:bidi="ar-SA" w:eastAsia="en-US" w:val="en-US"/>
      </w:rPr>
    </w:rPrDefault>
    <w:pPrDefault>
      <w:pPr>
        <w:spacing w:after="200" w:line="276" w:lineRule="auto"/>
      </w:pPr>
    </w:pPrDefault>
  </w:docDefaults>
  <w:latentStyles w:count="376" w:defLockedState="0" w:defQFormat="0" w:defSemiHidden="0" w:defUIPriority="99" w:defUnhideWhenUsed="0">
    <w:lsdException w:name="Normal" w:qFormat="1" w:uiPriority="0"/>
    <w:lsdException w:name="heading 1" w:qFormat="1" w:uiPriority="9"/>
    <w:lsdException w:name="heading 2" w:qFormat="1" w:semiHidden="1" w:uiPriority="9" w:unhideWhenUsed="1"/>
    <w:lsdException w:name="heading 3" w:qFormat="1" w:semiHidden="1" w:uiPriority="9" w:unhideWhenUsed="1"/>
    <w:lsdException w:name="heading 4" w:qFormat="1" w:semiHidden="1" w:uiPriority="9" w:unhideWhenUsed="1"/>
    <w:lsdException w:name="heading 5" w:qFormat="1" w:semiHidden="1" w:uiPriority="9" w:unhideWhenUsed="1"/>
    <w:lsdException w:name="heading 6" w:qFormat="1" w:semiHidden="1" w:uiPriority="9" w:unhideWhenUsed="1"/>
    <w:lsdException w:name="heading 7" w:qFormat="1" w:semiHidden="1" w:uiPriority="9" w:unhideWhenUsed="1"/>
    <w:lsdException w:name="heading 8" w:qFormat="1" w:semiHidden="1" w:uiPriority="9" w:unhideWhenUsed="1"/>
    <w:lsdException w:name="heading 9" w:qFormat="1"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qFormat="1"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uiPriority="22"/>
    <w:lsdException w:name="Emphasis" w:qFormat="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uiPriority="34"/>
    <w:lsdException w:name="Quote" w:qFormat="1" w:uiPriority="29"/>
    <w:lsdException w:name="Intense Quote" w:qFormat="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uiPriority="19"/>
    <w:lsdException w:name="Intense Emphasis" w:qFormat="1" w:uiPriority="21"/>
    <w:lsdException w:name="Subtle Reference" w:qFormat="1" w:uiPriority="31"/>
    <w:lsdException w:name="Intense Reference" w:qFormat="1" w:uiPriority="32"/>
    <w:lsdException w:name="Book Title" w:qFormat="1" w:uiPriority="33"/>
    <w:lsdException w:name="Bibliography" w:semiHidden="1" w:uiPriority="37" w:unhideWhenUsed="1"/>
    <w:lsdException w:name="TOC Heading" w:qFormat="1" w:semiHidden="1" w:uiPriority="39"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default="1" w:styleId="Normal" w:type="paragraph">
    <w:name w:val="Normal"/>
    <w:qFormat/>
    <w:rsid w:val="00FC693F"/>
  </w:style>
  <w:style w:styleId="Heading1" w:type="paragraph">
    <w:name w:val="heading 1"/>
    <w:basedOn w:val="Normal"/>
    <w:next w:val="Normal"/>
    <w:link w:val="Heading1Char"/>
    <w:uiPriority w:val="9"/>
    <w:qFormat/>
    <w:rsid w:val="00FC693F"/>
    <w:pPr>
      <w:keepNext/>
      <w:keepLines/>
      <w:spacing w:after="0" w:before="480"/>
      <w:outlineLvl w:val="0"/>
    </w:pPr>
    <w:rPr>
      <w:rFonts w:asciiTheme="majorHAnsi" w:cstheme="majorBidi" w:eastAsiaTheme="majorEastAsia" w:hAnsiTheme="majorHAnsi"/>
      <w:b/>
      <w:bCs/>
      <w:color w:themeColor="accent1" w:themeShade="BF" w:val="365F91"/>
      <w:sz w:val="28"/>
      <w:szCs w:val="28"/>
    </w:rPr>
  </w:style>
  <w:style w:styleId="Heading2" w:type="paragraph">
    <w:name w:val="heading 2"/>
    <w:basedOn w:val="Normal"/>
    <w:next w:val="Normal"/>
    <w:link w:val="Heading2Char"/>
    <w:uiPriority w:val="9"/>
    <w:unhideWhenUsed/>
    <w:qFormat/>
    <w:rsid w:val="00FC693F"/>
    <w:pPr>
      <w:keepNext/>
      <w:keepLines/>
      <w:spacing w:after="0" w:before="200"/>
      <w:outlineLvl w:val="1"/>
    </w:pPr>
    <w:rPr>
      <w:rFonts w:asciiTheme="majorHAnsi" w:cstheme="majorBidi" w:eastAsiaTheme="majorEastAsia" w:hAnsiTheme="majorHAnsi"/>
      <w:b/>
      <w:bCs/>
      <w:color w:themeColor="accent1" w:val="4F81BD"/>
      <w:sz w:val="26"/>
      <w:szCs w:val="26"/>
    </w:rPr>
  </w:style>
  <w:style w:styleId="Heading3" w:type="paragraph">
    <w:name w:val="heading 3"/>
    <w:basedOn w:val="Normal"/>
    <w:next w:val="Normal"/>
    <w:link w:val="Heading3Char"/>
    <w:uiPriority w:val="9"/>
    <w:unhideWhenUsed/>
    <w:qFormat/>
    <w:rsid w:val="00FC693F"/>
    <w:pPr>
      <w:keepNext/>
      <w:keepLines/>
      <w:spacing w:after="0" w:before="200"/>
      <w:outlineLvl w:val="2"/>
    </w:pPr>
    <w:rPr>
      <w:rFonts w:asciiTheme="majorHAnsi" w:cstheme="majorBidi" w:eastAsiaTheme="majorEastAsia" w:hAnsiTheme="majorHAnsi"/>
      <w:b/>
      <w:bCs/>
      <w:color w:themeColor="accent1" w:val="4F81BD"/>
    </w:rPr>
  </w:style>
  <w:style w:styleId="Heading4" w:type="paragraph">
    <w:name w:val="heading 4"/>
    <w:basedOn w:val="Normal"/>
    <w:next w:val="Normal"/>
    <w:link w:val="Heading4Char"/>
    <w:uiPriority w:val="9"/>
    <w:semiHidden/>
    <w:unhideWhenUsed/>
    <w:qFormat/>
    <w:rsid w:val="00FC693F"/>
    <w:pPr>
      <w:keepNext/>
      <w:keepLines/>
      <w:spacing w:after="0" w:before="200"/>
      <w:outlineLvl w:val="3"/>
    </w:pPr>
    <w:rPr>
      <w:rFonts w:asciiTheme="majorHAnsi" w:cstheme="majorBidi" w:eastAsiaTheme="majorEastAsia" w:hAnsiTheme="majorHAnsi"/>
      <w:b/>
      <w:bCs/>
      <w:i/>
      <w:iCs/>
      <w:color w:themeColor="accent1" w:val="4F81BD"/>
    </w:rPr>
  </w:style>
  <w:style w:styleId="Heading5" w:type="paragraph">
    <w:name w:val="heading 5"/>
    <w:basedOn w:val="Normal"/>
    <w:next w:val="Normal"/>
    <w:link w:val="Heading5Char"/>
    <w:uiPriority w:val="9"/>
    <w:semiHidden/>
    <w:unhideWhenUsed/>
    <w:qFormat/>
    <w:rsid w:val="00FC693F"/>
    <w:pPr>
      <w:keepNext/>
      <w:keepLines/>
      <w:spacing w:after="0" w:before="200"/>
      <w:outlineLvl w:val="4"/>
    </w:pPr>
    <w:rPr>
      <w:rFonts w:asciiTheme="majorHAnsi" w:cstheme="majorBidi" w:eastAsiaTheme="majorEastAsia" w:hAnsiTheme="majorHAnsi"/>
      <w:color w:themeColor="accent1" w:themeShade="7F" w:val="243F60"/>
    </w:rPr>
  </w:style>
  <w:style w:styleId="Heading6" w:type="paragraph">
    <w:name w:val="heading 6"/>
    <w:basedOn w:val="Normal"/>
    <w:next w:val="Normal"/>
    <w:link w:val="Heading6Char"/>
    <w:uiPriority w:val="9"/>
    <w:semiHidden/>
    <w:unhideWhenUsed/>
    <w:qFormat/>
    <w:rsid w:val="00FC693F"/>
    <w:pPr>
      <w:keepNext/>
      <w:keepLines/>
      <w:spacing w:after="0" w:before="200"/>
      <w:outlineLvl w:val="5"/>
    </w:pPr>
    <w:rPr>
      <w:rFonts w:asciiTheme="majorHAnsi" w:cstheme="majorBidi" w:eastAsiaTheme="majorEastAsia" w:hAnsiTheme="majorHAnsi"/>
      <w:i/>
      <w:iCs/>
      <w:color w:themeColor="accent1" w:themeShade="7F" w:val="243F60"/>
    </w:rPr>
  </w:style>
  <w:style w:styleId="Heading7" w:type="paragraph">
    <w:name w:val="heading 7"/>
    <w:basedOn w:val="Normal"/>
    <w:next w:val="Normal"/>
    <w:link w:val="Heading7Char"/>
    <w:uiPriority w:val="9"/>
    <w:semiHidden/>
    <w:unhideWhenUsed/>
    <w:qFormat/>
    <w:rsid w:val="00FC693F"/>
    <w:pPr>
      <w:keepNext/>
      <w:keepLines/>
      <w:spacing w:after="0" w:before="200"/>
      <w:outlineLvl w:val="6"/>
    </w:pPr>
    <w:rPr>
      <w:rFonts w:asciiTheme="majorHAnsi" w:cstheme="majorBidi" w:eastAsiaTheme="majorEastAsia" w:hAnsiTheme="majorHAnsi"/>
      <w:i/>
      <w:iCs/>
      <w:color w:themeColor="text1" w:themeTint="BF" w:val="404040"/>
    </w:rPr>
  </w:style>
  <w:style w:styleId="Heading8" w:type="paragraph">
    <w:name w:val="heading 8"/>
    <w:basedOn w:val="Normal"/>
    <w:next w:val="Normal"/>
    <w:link w:val="Heading8Char"/>
    <w:uiPriority w:val="9"/>
    <w:semiHidden/>
    <w:unhideWhenUsed/>
    <w:qFormat/>
    <w:rsid w:val="00FC693F"/>
    <w:pPr>
      <w:keepNext/>
      <w:keepLines/>
      <w:spacing w:after="0" w:before="200"/>
      <w:outlineLvl w:val="7"/>
    </w:pPr>
    <w:rPr>
      <w:rFonts w:asciiTheme="majorHAnsi" w:cstheme="majorBidi" w:eastAsiaTheme="majorEastAsia" w:hAnsiTheme="majorHAnsi"/>
      <w:color w:themeColor="accent1" w:val="4F81BD"/>
      <w:sz w:val="20"/>
      <w:szCs w:val="20"/>
    </w:rPr>
  </w:style>
  <w:style w:styleId="Heading9" w:type="paragraph">
    <w:name w:val="heading 9"/>
    <w:basedOn w:val="Normal"/>
    <w:next w:val="Normal"/>
    <w:link w:val="Heading9Char"/>
    <w:uiPriority w:val="9"/>
    <w:semiHidden/>
    <w:unhideWhenUsed/>
    <w:qFormat/>
    <w:rsid w:val="00FC693F"/>
    <w:pPr>
      <w:keepNext/>
      <w:keepLines/>
      <w:spacing w:after="0" w:before="200"/>
      <w:outlineLvl w:val="8"/>
    </w:pPr>
    <w:rPr>
      <w:rFonts w:asciiTheme="majorHAnsi" w:cstheme="majorBidi" w:eastAsiaTheme="majorEastAsia" w:hAnsiTheme="majorHAnsi"/>
      <w:i/>
      <w:iCs/>
      <w:color w:themeColor="text1" w:themeTint="BF" w:val="404040"/>
      <w:sz w:val="20"/>
      <w:szCs w:val="20"/>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Header" w:type="paragraph">
    <w:name w:val="header"/>
    <w:basedOn w:val="Normal"/>
    <w:link w:val="HeaderChar"/>
    <w:uiPriority w:val="99"/>
    <w:unhideWhenUsed/>
    <w:rsid w:val="00E618BF"/>
    <w:pPr>
      <w:tabs>
        <w:tab w:pos="4680" w:val="center"/>
        <w:tab w:pos="9360" w:val="right"/>
      </w:tabs>
      <w:spacing w:after="0" w:line="240" w:lineRule="auto"/>
    </w:pPr>
  </w:style>
  <w:style w:customStyle="1" w:styleId="HeaderChar" w:type="character">
    <w:name w:val="Header Char"/>
    <w:basedOn w:val="DefaultParagraphFont"/>
    <w:link w:val="Header"/>
    <w:uiPriority w:val="99"/>
    <w:rsid w:val="00E618BF"/>
  </w:style>
  <w:style w:styleId="Footer" w:type="paragraph">
    <w:name w:val="footer"/>
    <w:basedOn w:val="Normal"/>
    <w:link w:val="FooterChar"/>
    <w:uiPriority w:val="99"/>
    <w:unhideWhenUsed/>
    <w:rsid w:val="00E618BF"/>
    <w:pPr>
      <w:tabs>
        <w:tab w:pos="4680" w:val="center"/>
        <w:tab w:pos="9360" w:val="right"/>
      </w:tabs>
      <w:spacing w:after="0" w:line="240" w:lineRule="auto"/>
    </w:pPr>
  </w:style>
  <w:style w:customStyle="1" w:styleId="FooterChar" w:type="character">
    <w:name w:val="Footer Char"/>
    <w:basedOn w:val="DefaultParagraphFont"/>
    <w:link w:val="Footer"/>
    <w:uiPriority w:val="99"/>
    <w:rsid w:val="00E618BF"/>
  </w:style>
  <w:style w:styleId="NoSpacing" w:type="paragraph">
    <w:name w:val="No Spacing"/>
    <w:uiPriority w:val="1"/>
    <w:qFormat/>
    <w:rsid w:val="00FC693F"/>
    <w:pPr>
      <w:spacing w:after="0" w:line="240" w:lineRule="auto"/>
    </w:pPr>
  </w:style>
  <w:style w:customStyle="1" w:styleId="Heading1Char" w:type="character">
    <w:name w:val="Heading 1 Char"/>
    <w:basedOn w:val="DefaultParagraphFont"/>
    <w:link w:val="Heading1"/>
    <w:uiPriority w:val="9"/>
    <w:rsid w:val="00FC693F"/>
    <w:rPr>
      <w:rFonts w:asciiTheme="majorHAnsi" w:cstheme="majorBidi" w:eastAsiaTheme="majorEastAsia" w:hAnsiTheme="majorHAnsi"/>
      <w:b/>
      <w:bCs/>
      <w:color w:themeColor="accent1" w:themeShade="BF" w:val="365F91"/>
      <w:sz w:val="28"/>
      <w:szCs w:val="28"/>
    </w:rPr>
  </w:style>
  <w:style w:customStyle="1" w:styleId="Heading2Char" w:type="character">
    <w:name w:val="Heading 2 Char"/>
    <w:basedOn w:val="DefaultParagraphFont"/>
    <w:link w:val="Heading2"/>
    <w:uiPriority w:val="9"/>
    <w:rsid w:val="00FC693F"/>
    <w:rPr>
      <w:rFonts w:asciiTheme="majorHAnsi" w:cstheme="majorBidi" w:eastAsiaTheme="majorEastAsia" w:hAnsiTheme="majorHAnsi"/>
      <w:b/>
      <w:bCs/>
      <w:color w:themeColor="accent1" w:val="4F81BD"/>
      <w:sz w:val="26"/>
      <w:szCs w:val="26"/>
    </w:rPr>
  </w:style>
  <w:style w:customStyle="1" w:styleId="Heading3Char" w:type="character">
    <w:name w:val="Heading 3 Char"/>
    <w:basedOn w:val="DefaultParagraphFont"/>
    <w:link w:val="Heading3"/>
    <w:uiPriority w:val="9"/>
    <w:rsid w:val="00FC693F"/>
    <w:rPr>
      <w:rFonts w:asciiTheme="majorHAnsi" w:cstheme="majorBidi" w:eastAsiaTheme="majorEastAsia" w:hAnsiTheme="majorHAnsi"/>
      <w:b/>
      <w:bCs/>
      <w:color w:themeColor="accent1" w:val="4F81BD"/>
    </w:rPr>
  </w:style>
  <w:style w:styleId="Title" w:type="paragraph">
    <w:name w:val="Title"/>
    <w:basedOn w:val="Normal"/>
    <w:next w:val="Normal"/>
    <w:link w:val="TitleChar"/>
    <w:uiPriority w:val="10"/>
    <w:qFormat/>
    <w:rsid w:val="00FC693F"/>
    <w:pPr>
      <w:pBdr>
        <w:bottom w:color="4F81BD" w:space="4" w:sz="8" w:themeColor="accent1" w:val="single"/>
      </w:pBdr>
      <w:spacing w:after="300" w:line="240" w:lineRule="auto"/>
      <w:contextualSpacing/>
    </w:pPr>
    <w:rPr>
      <w:rFonts w:asciiTheme="majorHAnsi" w:cstheme="majorBidi" w:eastAsiaTheme="majorEastAsia" w:hAnsiTheme="majorHAnsi"/>
      <w:color w:themeColor="text2" w:themeShade="BF" w:val="17365D"/>
      <w:spacing w:val="5"/>
      <w:kern w:val="28"/>
      <w:sz w:val="52"/>
      <w:szCs w:val="52"/>
    </w:rPr>
  </w:style>
  <w:style w:customStyle="1" w:styleId="TitleChar" w:type="character">
    <w:name w:val="Title Char"/>
    <w:basedOn w:val="DefaultParagraphFont"/>
    <w:link w:val="Title"/>
    <w:uiPriority w:val="10"/>
    <w:rsid w:val="00FC693F"/>
    <w:rPr>
      <w:rFonts w:asciiTheme="majorHAnsi" w:cstheme="majorBidi" w:eastAsiaTheme="majorEastAsia" w:hAnsiTheme="majorHAnsi"/>
      <w:color w:themeColor="text2" w:themeShade="BF" w:val="17365D"/>
      <w:spacing w:val="5"/>
      <w:kern w:val="28"/>
      <w:sz w:val="52"/>
      <w:szCs w:val="52"/>
    </w:rPr>
  </w:style>
  <w:style w:styleId="Subtitle" w:type="paragraph">
    <w:name w:val="Subtitle"/>
    <w:basedOn w:val="Normal"/>
    <w:next w:val="Normal"/>
    <w:link w:val="SubtitleChar"/>
    <w:uiPriority w:val="11"/>
    <w:qFormat/>
    <w:rsid w:val="00FC693F"/>
    <w:pPr>
      <w:numPr>
        <w:ilvl w:val="1"/>
      </w:numPr>
    </w:pPr>
    <w:rPr>
      <w:rFonts w:asciiTheme="majorHAnsi" w:cstheme="majorBidi" w:eastAsiaTheme="majorEastAsia" w:hAnsiTheme="majorHAnsi"/>
      <w:i/>
      <w:iCs/>
      <w:color w:themeColor="accent1" w:val="4F81BD"/>
      <w:spacing w:val="15"/>
      <w:sz w:val="24"/>
      <w:szCs w:val="24"/>
    </w:rPr>
  </w:style>
  <w:style w:customStyle="1" w:styleId="SubtitleChar" w:type="character">
    <w:name w:val="Subtitle Char"/>
    <w:basedOn w:val="DefaultParagraphFont"/>
    <w:link w:val="Subtitle"/>
    <w:uiPriority w:val="11"/>
    <w:rsid w:val="00FC693F"/>
    <w:rPr>
      <w:rFonts w:asciiTheme="majorHAnsi" w:cstheme="majorBidi" w:eastAsiaTheme="majorEastAsia" w:hAnsiTheme="majorHAnsi"/>
      <w:i/>
      <w:iCs/>
      <w:color w:themeColor="accent1" w:val="4F81BD"/>
      <w:spacing w:val="15"/>
      <w:sz w:val="24"/>
      <w:szCs w:val="24"/>
    </w:rPr>
  </w:style>
  <w:style w:styleId="ListParagraph" w:type="paragraph">
    <w:name w:val="List Paragraph"/>
    <w:basedOn w:val="Normal"/>
    <w:uiPriority w:val="34"/>
    <w:qFormat/>
    <w:rsid w:val="00FC693F"/>
    <w:pPr>
      <w:ind w:left="720"/>
      <w:contextualSpacing/>
    </w:pPr>
  </w:style>
  <w:style w:styleId="BodyText" w:type="paragraph">
    <w:name w:val="Body Text"/>
    <w:basedOn w:val="Normal"/>
    <w:link w:val="BodyTextChar"/>
    <w:uiPriority w:val="99"/>
    <w:unhideWhenUsed/>
    <w:rsid w:val="00AA1D8D"/>
    <w:pPr>
      <w:spacing w:after="120"/>
    </w:pPr>
  </w:style>
  <w:style w:customStyle="1" w:styleId="BodyTextChar" w:type="character">
    <w:name w:val="Body Text Char"/>
    <w:basedOn w:val="DefaultParagraphFont"/>
    <w:link w:val="BodyText"/>
    <w:uiPriority w:val="99"/>
    <w:rsid w:val="00AA1D8D"/>
  </w:style>
  <w:style w:styleId="BodyText2" w:type="paragraph">
    <w:name w:val="Body Text 2"/>
    <w:basedOn w:val="Normal"/>
    <w:link w:val="BodyText2Char"/>
    <w:uiPriority w:val="99"/>
    <w:unhideWhenUsed/>
    <w:rsid w:val="00AA1D8D"/>
    <w:pPr>
      <w:spacing w:after="120" w:line="480" w:lineRule="auto"/>
    </w:pPr>
  </w:style>
  <w:style w:customStyle="1" w:styleId="BodyText2Char" w:type="character">
    <w:name w:val="Body Text 2 Char"/>
    <w:basedOn w:val="DefaultParagraphFont"/>
    <w:link w:val="BodyText2"/>
    <w:uiPriority w:val="99"/>
    <w:rsid w:val="00AA1D8D"/>
  </w:style>
  <w:style w:styleId="BodyText3" w:type="paragraph">
    <w:name w:val="Body Text 3"/>
    <w:basedOn w:val="Normal"/>
    <w:link w:val="BodyText3Char"/>
    <w:uiPriority w:val="99"/>
    <w:unhideWhenUsed/>
    <w:rsid w:val="00AA1D8D"/>
    <w:pPr>
      <w:spacing w:after="120"/>
    </w:pPr>
    <w:rPr>
      <w:sz w:val="16"/>
      <w:szCs w:val="16"/>
    </w:rPr>
  </w:style>
  <w:style w:customStyle="1" w:styleId="BodyText3Char" w:type="character">
    <w:name w:val="Body Text 3 Char"/>
    <w:basedOn w:val="DefaultParagraphFont"/>
    <w:link w:val="BodyText3"/>
    <w:uiPriority w:val="99"/>
    <w:rsid w:val="00AA1D8D"/>
    <w:rPr>
      <w:sz w:val="16"/>
      <w:szCs w:val="16"/>
    </w:rPr>
  </w:style>
  <w:style w:styleId="List" w:type="paragraph">
    <w:name w:val="List"/>
    <w:basedOn w:val="Normal"/>
    <w:uiPriority w:val="99"/>
    <w:unhideWhenUsed/>
    <w:rsid w:val="00AA1D8D"/>
    <w:pPr>
      <w:ind w:hanging="360" w:left="360"/>
      <w:contextualSpacing/>
    </w:pPr>
  </w:style>
  <w:style w:styleId="List2" w:type="paragraph">
    <w:name w:val="List 2"/>
    <w:basedOn w:val="Normal"/>
    <w:uiPriority w:val="99"/>
    <w:unhideWhenUsed/>
    <w:rsid w:val="00326F90"/>
    <w:pPr>
      <w:ind w:hanging="360" w:left="720"/>
      <w:contextualSpacing/>
    </w:pPr>
  </w:style>
  <w:style w:styleId="List3" w:type="paragraph">
    <w:name w:val="List 3"/>
    <w:basedOn w:val="Normal"/>
    <w:uiPriority w:val="99"/>
    <w:unhideWhenUsed/>
    <w:rsid w:val="00326F90"/>
    <w:pPr>
      <w:ind w:hanging="360" w:left="1080"/>
      <w:contextualSpacing/>
    </w:pPr>
  </w:style>
  <w:style w:styleId="ListBullet" w:type="paragraph">
    <w:name w:val="List Bullet"/>
    <w:basedOn w:val="Normal"/>
    <w:uiPriority w:val="99"/>
    <w:unhideWhenUsed/>
    <w:rsid w:val="00326F90"/>
    <w:pPr>
      <w:numPr>
        <w:numId w:val="1"/>
      </w:numPr>
      <w:contextualSpacing/>
    </w:pPr>
  </w:style>
  <w:style w:styleId="ListBullet2" w:type="paragraph">
    <w:name w:val="List Bullet 2"/>
    <w:basedOn w:val="Normal"/>
    <w:uiPriority w:val="99"/>
    <w:unhideWhenUsed/>
    <w:rsid w:val="00326F90"/>
    <w:pPr>
      <w:numPr>
        <w:numId w:val="2"/>
      </w:numPr>
      <w:contextualSpacing/>
    </w:pPr>
  </w:style>
  <w:style w:styleId="ListBullet3" w:type="paragraph">
    <w:name w:val="List Bullet 3"/>
    <w:basedOn w:val="Normal"/>
    <w:uiPriority w:val="99"/>
    <w:unhideWhenUsed/>
    <w:rsid w:val="00326F90"/>
    <w:pPr>
      <w:numPr>
        <w:numId w:val="3"/>
      </w:numPr>
      <w:contextualSpacing/>
    </w:pPr>
  </w:style>
  <w:style w:styleId="ListNumber" w:type="paragraph">
    <w:name w:val="List Number"/>
    <w:basedOn w:val="Normal"/>
    <w:uiPriority w:val="99"/>
    <w:unhideWhenUsed/>
    <w:rsid w:val="00326F90"/>
    <w:pPr>
      <w:numPr>
        <w:numId w:val="5"/>
      </w:numPr>
      <w:contextualSpacing/>
    </w:pPr>
  </w:style>
  <w:style w:styleId="ListNumber2" w:type="paragraph">
    <w:name w:val="List Number 2"/>
    <w:basedOn w:val="Normal"/>
    <w:uiPriority w:val="99"/>
    <w:unhideWhenUsed/>
    <w:rsid w:val="0029639D"/>
    <w:pPr>
      <w:numPr>
        <w:numId w:val="6"/>
      </w:numPr>
      <w:contextualSpacing/>
    </w:pPr>
  </w:style>
  <w:style w:styleId="ListNumber3" w:type="paragraph">
    <w:name w:val="List Number 3"/>
    <w:basedOn w:val="Normal"/>
    <w:uiPriority w:val="99"/>
    <w:unhideWhenUsed/>
    <w:rsid w:val="0029639D"/>
    <w:pPr>
      <w:numPr>
        <w:numId w:val="7"/>
      </w:numPr>
      <w:contextualSpacing/>
    </w:pPr>
  </w:style>
  <w:style w:styleId="ListContinue" w:type="paragraph">
    <w:name w:val="List Continue"/>
    <w:basedOn w:val="Normal"/>
    <w:uiPriority w:val="99"/>
    <w:unhideWhenUsed/>
    <w:rsid w:val="0029639D"/>
    <w:pPr>
      <w:spacing w:after="120"/>
      <w:ind w:left="360"/>
      <w:contextualSpacing/>
    </w:pPr>
  </w:style>
  <w:style w:styleId="ListContinue2" w:type="paragraph">
    <w:name w:val="List Continue 2"/>
    <w:basedOn w:val="Normal"/>
    <w:uiPriority w:val="99"/>
    <w:unhideWhenUsed/>
    <w:rsid w:val="0029639D"/>
    <w:pPr>
      <w:spacing w:after="120"/>
      <w:ind w:left="720"/>
      <w:contextualSpacing/>
    </w:pPr>
  </w:style>
  <w:style w:styleId="ListContinue3" w:type="paragraph">
    <w:name w:val="List Continue 3"/>
    <w:basedOn w:val="Normal"/>
    <w:uiPriority w:val="99"/>
    <w:unhideWhenUsed/>
    <w:rsid w:val="0029639D"/>
    <w:pPr>
      <w:spacing w:after="120"/>
      <w:ind w:left="1080"/>
      <w:contextualSpacing/>
    </w:pPr>
  </w:style>
  <w:style w:styleId="MacroText" w:type="paragraph">
    <w:name w:val="macro"/>
    <w:link w:val="MacroTextChar"/>
    <w:uiPriority w:val="99"/>
    <w:unhideWhenUsed/>
    <w:rsid w:val="0029639D"/>
    <w:pPr>
      <w:tabs>
        <w:tab w:pos="576" w:val="left"/>
        <w:tab w:pos="1152" w:val="left"/>
        <w:tab w:pos="1728" w:val="left"/>
        <w:tab w:pos="2304" w:val="left"/>
        <w:tab w:pos="2880" w:val="left"/>
        <w:tab w:pos="3456" w:val="left"/>
        <w:tab w:pos="4032" w:val="left"/>
      </w:tabs>
    </w:pPr>
    <w:rPr>
      <w:rFonts w:ascii="Courier" w:hAnsi="Courier"/>
      <w:sz w:val="20"/>
      <w:szCs w:val="20"/>
    </w:rPr>
  </w:style>
  <w:style w:customStyle="1" w:styleId="MacroTextChar" w:type="character">
    <w:name w:val="Macro Text Char"/>
    <w:basedOn w:val="DefaultParagraphFont"/>
    <w:link w:val="MacroText"/>
    <w:uiPriority w:val="99"/>
    <w:rsid w:val="0029639D"/>
    <w:rPr>
      <w:rFonts w:ascii="Courier" w:hAnsi="Courier"/>
      <w:sz w:val="20"/>
      <w:szCs w:val="20"/>
    </w:rPr>
  </w:style>
  <w:style w:styleId="Quote" w:type="paragraph">
    <w:name w:val="Quote"/>
    <w:basedOn w:val="Normal"/>
    <w:next w:val="Normal"/>
    <w:link w:val="QuoteChar"/>
    <w:uiPriority w:val="29"/>
    <w:qFormat/>
    <w:rsid w:val="00FC693F"/>
    <w:rPr>
      <w:i/>
      <w:iCs/>
      <w:color w:themeColor="text1" w:val="000000"/>
    </w:rPr>
  </w:style>
  <w:style w:customStyle="1" w:styleId="QuoteChar" w:type="character">
    <w:name w:val="Quote Char"/>
    <w:basedOn w:val="DefaultParagraphFont"/>
    <w:link w:val="Quote"/>
    <w:uiPriority w:val="29"/>
    <w:rsid w:val="00FC693F"/>
    <w:rPr>
      <w:i/>
      <w:iCs/>
      <w:color w:themeColor="text1" w:val="000000"/>
    </w:rPr>
  </w:style>
  <w:style w:customStyle="1" w:styleId="Heading4Char" w:type="character">
    <w:name w:val="Heading 4 Char"/>
    <w:basedOn w:val="DefaultParagraphFont"/>
    <w:link w:val="Heading4"/>
    <w:uiPriority w:val="9"/>
    <w:semiHidden/>
    <w:rsid w:val="00FC693F"/>
    <w:rPr>
      <w:rFonts w:asciiTheme="majorHAnsi" w:cstheme="majorBidi" w:eastAsiaTheme="majorEastAsia" w:hAnsiTheme="majorHAnsi"/>
      <w:b/>
      <w:bCs/>
      <w:i/>
      <w:iCs/>
      <w:color w:themeColor="accent1" w:val="4F81BD"/>
    </w:rPr>
  </w:style>
  <w:style w:customStyle="1" w:styleId="Heading5Char" w:type="character">
    <w:name w:val="Heading 5 Char"/>
    <w:basedOn w:val="DefaultParagraphFont"/>
    <w:link w:val="Heading5"/>
    <w:uiPriority w:val="9"/>
    <w:semiHidden/>
    <w:rsid w:val="00FC693F"/>
    <w:rPr>
      <w:rFonts w:asciiTheme="majorHAnsi" w:cstheme="majorBidi" w:eastAsiaTheme="majorEastAsia" w:hAnsiTheme="majorHAnsi"/>
      <w:color w:themeColor="accent1" w:themeShade="7F" w:val="243F60"/>
    </w:rPr>
  </w:style>
  <w:style w:customStyle="1" w:styleId="Heading6Char" w:type="character">
    <w:name w:val="Heading 6 Char"/>
    <w:basedOn w:val="DefaultParagraphFont"/>
    <w:link w:val="Heading6"/>
    <w:uiPriority w:val="9"/>
    <w:semiHidden/>
    <w:rsid w:val="00FC693F"/>
    <w:rPr>
      <w:rFonts w:asciiTheme="majorHAnsi" w:cstheme="majorBidi" w:eastAsiaTheme="majorEastAsia" w:hAnsiTheme="majorHAnsi"/>
      <w:i/>
      <w:iCs/>
      <w:color w:themeColor="accent1" w:themeShade="7F" w:val="243F60"/>
    </w:rPr>
  </w:style>
  <w:style w:customStyle="1" w:styleId="Heading7Char" w:type="character">
    <w:name w:val="Heading 7 Char"/>
    <w:basedOn w:val="DefaultParagraphFont"/>
    <w:link w:val="Heading7"/>
    <w:uiPriority w:val="9"/>
    <w:semiHidden/>
    <w:rsid w:val="00FC693F"/>
    <w:rPr>
      <w:rFonts w:asciiTheme="majorHAnsi" w:cstheme="majorBidi" w:eastAsiaTheme="majorEastAsia" w:hAnsiTheme="majorHAnsi"/>
      <w:i/>
      <w:iCs/>
      <w:color w:themeColor="text1" w:themeTint="BF" w:val="404040"/>
    </w:rPr>
  </w:style>
  <w:style w:customStyle="1" w:styleId="Heading8Char" w:type="character">
    <w:name w:val="Heading 8 Char"/>
    <w:basedOn w:val="DefaultParagraphFont"/>
    <w:link w:val="Heading8"/>
    <w:uiPriority w:val="9"/>
    <w:semiHidden/>
    <w:rsid w:val="00FC693F"/>
    <w:rPr>
      <w:rFonts w:asciiTheme="majorHAnsi" w:cstheme="majorBidi" w:eastAsiaTheme="majorEastAsia" w:hAnsiTheme="majorHAnsi"/>
      <w:color w:themeColor="accent1" w:val="4F81BD"/>
      <w:sz w:val="20"/>
      <w:szCs w:val="20"/>
    </w:rPr>
  </w:style>
  <w:style w:customStyle="1" w:styleId="Heading9Char" w:type="character">
    <w:name w:val="Heading 9 Char"/>
    <w:basedOn w:val="DefaultParagraphFont"/>
    <w:link w:val="Heading9"/>
    <w:uiPriority w:val="9"/>
    <w:semiHidden/>
    <w:rsid w:val="00FC693F"/>
    <w:rPr>
      <w:rFonts w:asciiTheme="majorHAnsi" w:cstheme="majorBidi" w:eastAsiaTheme="majorEastAsia" w:hAnsiTheme="majorHAnsi"/>
      <w:i/>
      <w:iCs/>
      <w:color w:themeColor="text1" w:themeTint="BF" w:val="404040"/>
      <w:sz w:val="20"/>
      <w:szCs w:val="20"/>
    </w:rPr>
  </w:style>
  <w:style w:styleId="Caption" w:type="paragraph">
    <w:name w:val="caption"/>
    <w:basedOn w:val="Normal"/>
    <w:next w:val="Normal"/>
    <w:uiPriority w:val="35"/>
    <w:semiHidden/>
    <w:unhideWhenUsed/>
    <w:qFormat/>
    <w:rsid w:val="00FC693F"/>
    <w:pPr>
      <w:spacing w:line="240" w:lineRule="auto"/>
    </w:pPr>
    <w:rPr>
      <w:b/>
      <w:bCs/>
      <w:color w:themeColor="accent1" w:val="4F81BD"/>
      <w:sz w:val="18"/>
      <w:szCs w:val="18"/>
    </w:rPr>
  </w:style>
  <w:style w:styleId="Strong" w:type="character">
    <w:name w:val="Strong"/>
    <w:basedOn w:val="DefaultParagraphFont"/>
    <w:uiPriority w:val="22"/>
    <w:qFormat/>
    <w:rsid w:val="00FC693F"/>
    <w:rPr>
      <w:b/>
      <w:bCs/>
    </w:rPr>
  </w:style>
  <w:style w:styleId="Emphasis" w:type="character">
    <w:name w:val="Emphasis"/>
    <w:basedOn w:val="DefaultParagraphFont"/>
    <w:uiPriority w:val="20"/>
    <w:qFormat/>
    <w:rsid w:val="00FC693F"/>
    <w:rPr>
      <w:i/>
      <w:iCs/>
    </w:rPr>
  </w:style>
  <w:style w:styleId="IntenseQuote" w:type="paragraph">
    <w:name w:val="Intense Quote"/>
    <w:basedOn w:val="Normal"/>
    <w:next w:val="Normal"/>
    <w:link w:val="IntenseQuoteChar"/>
    <w:uiPriority w:val="30"/>
    <w:qFormat/>
    <w:rsid w:val="00FC693F"/>
    <w:pPr>
      <w:pBdr>
        <w:bottom w:color="4F81BD" w:space="4" w:sz="4" w:themeColor="accent1" w:val="single"/>
      </w:pBdr>
      <w:spacing w:after="280" w:before="200"/>
      <w:ind w:left="936" w:right="936"/>
    </w:pPr>
    <w:rPr>
      <w:b/>
      <w:bCs/>
      <w:i/>
      <w:iCs/>
      <w:color w:themeColor="accent1" w:val="4F81BD"/>
    </w:rPr>
  </w:style>
  <w:style w:customStyle="1" w:styleId="IntenseQuoteChar" w:type="character">
    <w:name w:val="Intense Quote Char"/>
    <w:basedOn w:val="DefaultParagraphFont"/>
    <w:link w:val="IntenseQuote"/>
    <w:uiPriority w:val="30"/>
    <w:rsid w:val="00FC693F"/>
    <w:rPr>
      <w:b/>
      <w:bCs/>
      <w:i/>
      <w:iCs/>
      <w:color w:themeColor="accent1" w:val="4F81BD"/>
    </w:rPr>
  </w:style>
  <w:style w:styleId="SubtleEmphasis" w:type="character">
    <w:name w:val="Subtle Emphasis"/>
    <w:basedOn w:val="DefaultParagraphFont"/>
    <w:uiPriority w:val="19"/>
    <w:qFormat/>
    <w:rsid w:val="00FC693F"/>
    <w:rPr>
      <w:i/>
      <w:iCs/>
      <w:color w:themeColor="text1" w:themeTint="7F" w:val="808080"/>
    </w:rPr>
  </w:style>
  <w:style w:styleId="IntenseEmphasis" w:type="character">
    <w:name w:val="Intense Emphasis"/>
    <w:basedOn w:val="DefaultParagraphFont"/>
    <w:uiPriority w:val="21"/>
    <w:qFormat/>
    <w:rsid w:val="00FC693F"/>
    <w:rPr>
      <w:b/>
      <w:bCs/>
      <w:i/>
      <w:iCs/>
      <w:color w:themeColor="accent1" w:val="4F81BD"/>
    </w:rPr>
  </w:style>
  <w:style w:styleId="SubtleReference" w:type="character">
    <w:name w:val="Subtle Reference"/>
    <w:basedOn w:val="DefaultParagraphFont"/>
    <w:uiPriority w:val="31"/>
    <w:qFormat/>
    <w:rsid w:val="00FC693F"/>
    <w:rPr>
      <w:smallCaps/>
      <w:color w:themeColor="accent2" w:val="C0504D"/>
      <w:u w:val="single"/>
    </w:rPr>
  </w:style>
  <w:style w:styleId="IntenseReference" w:type="character">
    <w:name w:val="Intense Reference"/>
    <w:basedOn w:val="DefaultParagraphFont"/>
    <w:uiPriority w:val="32"/>
    <w:qFormat/>
    <w:rsid w:val="00FC693F"/>
    <w:rPr>
      <w:b/>
      <w:bCs/>
      <w:smallCaps/>
      <w:color w:themeColor="accent2" w:val="C0504D"/>
      <w:spacing w:val="5"/>
      <w:u w:val="single"/>
    </w:rPr>
  </w:style>
  <w:style w:styleId="BookTitle" w:type="character">
    <w:name w:val="Book Title"/>
    <w:basedOn w:val="DefaultParagraphFont"/>
    <w:uiPriority w:val="33"/>
    <w:qFormat/>
    <w:rsid w:val="00FC693F"/>
    <w:rPr>
      <w:b/>
      <w:bCs/>
      <w:smallCaps/>
      <w:spacing w:val="5"/>
    </w:rPr>
  </w:style>
  <w:style w:styleId="TOCHeading" w:type="paragraph">
    <w:name w:val="TOC Heading"/>
    <w:basedOn w:val="Heading1"/>
    <w:next w:val="Normal"/>
    <w:uiPriority w:val="39"/>
    <w:semiHidden/>
    <w:unhideWhenUsed/>
    <w:qFormat/>
    <w:rsid w:val="00FC693F"/>
    <w:pPr>
      <w:outlineLvl w:val="9"/>
    </w:pPr>
  </w:style>
  <w:style w:styleId="TableGrid" w:type="table">
    <w:name w:val="Table Grid"/>
    <w:basedOn w:val="TableNormal"/>
    <w:uiPriority w:val="59"/>
    <w:rsid w:val="00FC693F"/>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styleId="LightShading" w:type="table">
    <w:name w:val="Light Shading"/>
    <w:basedOn w:val="TableNormal"/>
    <w:uiPriority w:val="60"/>
    <w:rsid w:val="00FC693F"/>
    <w:pPr>
      <w:spacing w:after="0" w:line="240" w:lineRule="auto"/>
    </w:pPr>
    <w:rPr>
      <w:color w:themeColor="text1" w:themeShade="BF" w:val="000000"/>
    </w:rPr>
    <w:tblPr>
      <w:tblStyleRowBandSize w:val="1"/>
      <w:tblStyleColBandSize w:val="1"/>
      <w:tblBorders>
        <w:top w:color="000000" w:space="0" w:sz="8" w:themeColor="text1" w:val="single"/>
        <w:bottom w:color="000000" w:space="0" w:sz="8" w:themeColor="text1" w:val="single"/>
      </w:tblBorders>
    </w:tblPr>
    <w:tblStylePr w:type="firstRow">
      <w:pPr>
        <w:spacing w:after="0" w:before="0" w:line="240" w:lineRule="auto"/>
      </w:pPr>
      <w:rPr>
        <w:b/>
        <w:bCs/>
      </w:rPr>
      <w:tblPr/>
      <w:tcPr>
        <w:tcBorders>
          <w:top w:color="000000" w:space="0" w:sz="8" w:themeColor="text1" w:val="single"/>
          <w:left w:val="nil"/>
          <w:bottom w:color="000000" w:space="0" w:sz="8" w:themeColor="text1" w:val="single"/>
          <w:right w:val="nil"/>
          <w:insideH w:val="nil"/>
          <w:insideV w:val="nil"/>
        </w:tcBorders>
      </w:tcPr>
    </w:tblStylePr>
    <w:tblStylePr w:type="lastRow">
      <w:pPr>
        <w:spacing w:after="0" w:before="0" w:line="240" w:lineRule="auto"/>
      </w:pPr>
      <w:rPr>
        <w:b/>
        <w:bCs/>
      </w:rPr>
      <w:tblPr/>
      <w:tcPr>
        <w:tcBorders>
          <w:top w:color="000000" w:space="0" w:sz="8" w:themeColor="text1" w:val="single"/>
          <w:left w:val="nil"/>
          <w:bottom w:color="000000" w:space="0" w:sz="8" w:themeColor="text1"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C0C0C0" w:themeFill="text1" w:themeFillTint="3F" w:val="clear"/>
      </w:tcPr>
    </w:tblStylePr>
    <w:tblStylePr w:type="band1Horz">
      <w:tblPr/>
      <w:tcPr>
        <w:tcBorders>
          <w:left w:val="nil"/>
          <w:right w:val="nil"/>
          <w:insideH w:val="nil"/>
          <w:insideV w:val="nil"/>
        </w:tcBorders>
        <w:shd w:color="auto" w:fill="C0C0C0" w:themeFill="text1" w:themeFillTint="3F" w:val="clear"/>
      </w:tcPr>
    </w:tblStylePr>
  </w:style>
  <w:style w:styleId="LightShading-Accent1" w:type="table">
    <w:name w:val="Light Shading Accent 1"/>
    <w:basedOn w:val="TableNormal"/>
    <w:uiPriority w:val="60"/>
    <w:rsid w:val="00FC693F"/>
    <w:pPr>
      <w:spacing w:after="0" w:line="240" w:lineRule="auto"/>
    </w:pPr>
    <w:rPr>
      <w:color w:themeColor="accent1" w:themeShade="BF" w:val="365F91"/>
    </w:rPr>
    <w:tblPr>
      <w:tblStyleRowBandSize w:val="1"/>
      <w:tblStyleColBandSize w:val="1"/>
      <w:tblBorders>
        <w:top w:color="4F81BD" w:space="0" w:sz="8" w:themeColor="accent1" w:val="single"/>
        <w:bottom w:color="4F81BD" w:space="0" w:sz="8" w:themeColor="accent1" w:val="single"/>
      </w:tblBorders>
    </w:tblPr>
    <w:tblStylePr w:type="firstRow">
      <w:pPr>
        <w:spacing w:after="0" w:before="0" w:line="240" w:lineRule="auto"/>
      </w:pPr>
      <w:rPr>
        <w:b/>
        <w:bCs/>
      </w:rPr>
      <w:tblPr/>
      <w:tcPr>
        <w:tcBorders>
          <w:top w:color="4F81BD" w:space="0" w:sz="8" w:themeColor="accent1" w:val="single"/>
          <w:left w:val="nil"/>
          <w:bottom w:color="4F81BD" w:space="0" w:sz="8" w:themeColor="accent1" w:val="single"/>
          <w:right w:val="nil"/>
          <w:insideH w:val="nil"/>
          <w:insideV w:val="nil"/>
        </w:tcBorders>
      </w:tcPr>
    </w:tblStylePr>
    <w:tblStylePr w:type="lastRow">
      <w:pPr>
        <w:spacing w:after="0" w:before="0" w:line="240" w:lineRule="auto"/>
      </w:pPr>
      <w:rPr>
        <w:b/>
        <w:bCs/>
      </w:rPr>
      <w:tblPr/>
      <w:tcPr>
        <w:tcBorders>
          <w:top w:color="4F81BD" w:space="0" w:sz="8" w:themeColor="accent1" w:val="single"/>
          <w:left w:val="nil"/>
          <w:bottom w:color="4F81BD" w:space="0" w:sz="8" w:themeColor="accent1"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D3DFEE" w:themeFill="accent1" w:themeFillTint="3F" w:val="clear"/>
      </w:tcPr>
    </w:tblStylePr>
    <w:tblStylePr w:type="band1Horz">
      <w:tblPr/>
      <w:tcPr>
        <w:tcBorders>
          <w:left w:val="nil"/>
          <w:right w:val="nil"/>
          <w:insideH w:val="nil"/>
          <w:insideV w:val="nil"/>
        </w:tcBorders>
        <w:shd w:color="auto" w:fill="D3DFEE" w:themeFill="accent1" w:themeFillTint="3F" w:val="clear"/>
      </w:tcPr>
    </w:tblStylePr>
  </w:style>
  <w:style w:styleId="LightShading-Accent2" w:type="table">
    <w:name w:val="Light Shading Accent 2"/>
    <w:basedOn w:val="TableNormal"/>
    <w:uiPriority w:val="60"/>
    <w:rsid w:val="00FC693F"/>
    <w:pPr>
      <w:spacing w:after="0" w:line="240" w:lineRule="auto"/>
    </w:pPr>
    <w:rPr>
      <w:color w:themeColor="accent2" w:themeShade="BF" w:val="943634"/>
    </w:rPr>
    <w:tblPr>
      <w:tblStyleRowBandSize w:val="1"/>
      <w:tblStyleColBandSize w:val="1"/>
      <w:tblBorders>
        <w:top w:color="C0504D" w:space="0" w:sz="8" w:themeColor="accent2" w:val="single"/>
        <w:bottom w:color="C0504D" w:space="0" w:sz="8" w:themeColor="accent2" w:val="single"/>
      </w:tblBorders>
    </w:tblPr>
    <w:tblStylePr w:type="firstRow">
      <w:pPr>
        <w:spacing w:after="0" w:before="0" w:line="240" w:lineRule="auto"/>
      </w:pPr>
      <w:rPr>
        <w:b/>
        <w:bCs/>
      </w:rPr>
      <w:tblPr/>
      <w:tcPr>
        <w:tcBorders>
          <w:top w:color="C0504D" w:space="0" w:sz="8" w:themeColor="accent2" w:val="single"/>
          <w:left w:val="nil"/>
          <w:bottom w:color="C0504D" w:space="0" w:sz="8" w:themeColor="accent2" w:val="single"/>
          <w:right w:val="nil"/>
          <w:insideH w:val="nil"/>
          <w:insideV w:val="nil"/>
        </w:tcBorders>
      </w:tcPr>
    </w:tblStylePr>
    <w:tblStylePr w:type="lastRow">
      <w:pPr>
        <w:spacing w:after="0" w:before="0" w:line="240" w:lineRule="auto"/>
      </w:pPr>
      <w:rPr>
        <w:b/>
        <w:bCs/>
      </w:rPr>
      <w:tblPr/>
      <w:tcPr>
        <w:tcBorders>
          <w:top w:color="C0504D" w:space="0" w:sz="8" w:themeColor="accent2" w:val="single"/>
          <w:left w:val="nil"/>
          <w:bottom w:color="C0504D" w:space="0" w:sz="8" w:themeColor="accent2"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EFD3D2" w:themeFill="accent2" w:themeFillTint="3F" w:val="clear"/>
      </w:tcPr>
    </w:tblStylePr>
    <w:tblStylePr w:type="band1Horz">
      <w:tblPr/>
      <w:tcPr>
        <w:tcBorders>
          <w:left w:val="nil"/>
          <w:right w:val="nil"/>
          <w:insideH w:val="nil"/>
          <w:insideV w:val="nil"/>
        </w:tcBorders>
        <w:shd w:color="auto" w:fill="EFD3D2" w:themeFill="accent2" w:themeFillTint="3F" w:val="clear"/>
      </w:tcPr>
    </w:tblStylePr>
  </w:style>
  <w:style w:styleId="LightShading-Accent3" w:type="table">
    <w:name w:val="Light Shading Accent 3"/>
    <w:basedOn w:val="TableNormal"/>
    <w:uiPriority w:val="60"/>
    <w:rsid w:val="00FC693F"/>
    <w:pPr>
      <w:spacing w:after="0" w:line="240" w:lineRule="auto"/>
    </w:pPr>
    <w:rPr>
      <w:color w:themeColor="accent3" w:themeShade="BF" w:val="76923C"/>
    </w:rPr>
    <w:tblPr>
      <w:tblStyleRowBandSize w:val="1"/>
      <w:tblStyleColBandSize w:val="1"/>
      <w:tblBorders>
        <w:top w:color="9BBB59" w:space="0" w:sz="8" w:themeColor="accent3" w:val="single"/>
        <w:bottom w:color="9BBB59" w:space="0" w:sz="8" w:themeColor="accent3" w:val="single"/>
      </w:tblBorders>
    </w:tblPr>
    <w:tblStylePr w:type="firstRow">
      <w:pPr>
        <w:spacing w:after="0" w:before="0" w:line="240" w:lineRule="auto"/>
      </w:pPr>
      <w:rPr>
        <w:b/>
        <w:bCs/>
      </w:rPr>
      <w:tblPr/>
      <w:tcPr>
        <w:tcBorders>
          <w:top w:color="9BBB59" w:space="0" w:sz="8" w:themeColor="accent3" w:val="single"/>
          <w:left w:val="nil"/>
          <w:bottom w:color="9BBB59" w:space="0" w:sz="8" w:themeColor="accent3" w:val="single"/>
          <w:right w:val="nil"/>
          <w:insideH w:val="nil"/>
          <w:insideV w:val="nil"/>
        </w:tcBorders>
      </w:tcPr>
    </w:tblStylePr>
    <w:tblStylePr w:type="lastRow">
      <w:pPr>
        <w:spacing w:after="0" w:before="0" w:line="240" w:lineRule="auto"/>
      </w:pPr>
      <w:rPr>
        <w:b/>
        <w:bCs/>
      </w:rPr>
      <w:tblPr/>
      <w:tcPr>
        <w:tcBorders>
          <w:top w:color="9BBB59" w:space="0" w:sz="8" w:themeColor="accent3" w:val="single"/>
          <w:left w:val="nil"/>
          <w:bottom w:color="9BBB59" w:space="0" w:sz="8" w:themeColor="accent3"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E6EED5" w:themeFill="accent3" w:themeFillTint="3F" w:val="clear"/>
      </w:tcPr>
    </w:tblStylePr>
    <w:tblStylePr w:type="band1Horz">
      <w:tblPr/>
      <w:tcPr>
        <w:tcBorders>
          <w:left w:val="nil"/>
          <w:right w:val="nil"/>
          <w:insideH w:val="nil"/>
          <w:insideV w:val="nil"/>
        </w:tcBorders>
        <w:shd w:color="auto" w:fill="E6EED5" w:themeFill="accent3" w:themeFillTint="3F" w:val="clear"/>
      </w:tcPr>
    </w:tblStylePr>
  </w:style>
  <w:style w:styleId="LightShading-Accent4" w:type="table">
    <w:name w:val="Light Shading Accent 4"/>
    <w:basedOn w:val="TableNormal"/>
    <w:uiPriority w:val="60"/>
    <w:rsid w:val="00FC693F"/>
    <w:pPr>
      <w:spacing w:after="0" w:line="240" w:lineRule="auto"/>
    </w:pPr>
    <w:rPr>
      <w:color w:themeColor="accent4" w:themeShade="BF" w:val="5F497A"/>
    </w:rPr>
    <w:tblPr>
      <w:tblStyleRowBandSize w:val="1"/>
      <w:tblStyleColBandSize w:val="1"/>
      <w:tblBorders>
        <w:top w:color="8064A2" w:space="0" w:sz="8" w:themeColor="accent4" w:val="single"/>
        <w:bottom w:color="8064A2" w:space="0" w:sz="8" w:themeColor="accent4" w:val="single"/>
      </w:tblBorders>
    </w:tblPr>
    <w:tblStylePr w:type="firstRow">
      <w:pPr>
        <w:spacing w:after="0" w:before="0" w:line="240" w:lineRule="auto"/>
      </w:pPr>
      <w:rPr>
        <w:b/>
        <w:bCs/>
      </w:rPr>
      <w:tblPr/>
      <w:tcPr>
        <w:tcBorders>
          <w:top w:color="8064A2" w:space="0" w:sz="8" w:themeColor="accent4" w:val="single"/>
          <w:left w:val="nil"/>
          <w:bottom w:color="8064A2" w:space="0" w:sz="8" w:themeColor="accent4" w:val="single"/>
          <w:right w:val="nil"/>
          <w:insideH w:val="nil"/>
          <w:insideV w:val="nil"/>
        </w:tcBorders>
      </w:tcPr>
    </w:tblStylePr>
    <w:tblStylePr w:type="lastRow">
      <w:pPr>
        <w:spacing w:after="0" w:before="0" w:line="240" w:lineRule="auto"/>
      </w:pPr>
      <w:rPr>
        <w:b/>
        <w:bCs/>
      </w:rPr>
      <w:tblPr/>
      <w:tcPr>
        <w:tcBorders>
          <w:top w:color="8064A2" w:space="0" w:sz="8" w:themeColor="accent4" w:val="single"/>
          <w:left w:val="nil"/>
          <w:bottom w:color="8064A2" w:space="0" w:sz="8" w:themeColor="accent4"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DFD8E8" w:themeFill="accent4" w:themeFillTint="3F" w:val="clear"/>
      </w:tcPr>
    </w:tblStylePr>
    <w:tblStylePr w:type="band1Horz">
      <w:tblPr/>
      <w:tcPr>
        <w:tcBorders>
          <w:left w:val="nil"/>
          <w:right w:val="nil"/>
          <w:insideH w:val="nil"/>
          <w:insideV w:val="nil"/>
        </w:tcBorders>
        <w:shd w:color="auto" w:fill="DFD8E8" w:themeFill="accent4" w:themeFillTint="3F" w:val="clear"/>
      </w:tcPr>
    </w:tblStylePr>
  </w:style>
  <w:style w:styleId="LightShading-Accent5" w:type="table">
    <w:name w:val="Light Shading Accent 5"/>
    <w:basedOn w:val="TableNormal"/>
    <w:uiPriority w:val="60"/>
    <w:rsid w:val="00FC693F"/>
    <w:pPr>
      <w:spacing w:after="0" w:line="240" w:lineRule="auto"/>
    </w:pPr>
    <w:rPr>
      <w:color w:themeColor="accent5" w:themeShade="BF" w:val="31849B"/>
    </w:rPr>
    <w:tblPr>
      <w:tblStyleRowBandSize w:val="1"/>
      <w:tblStyleColBandSize w:val="1"/>
      <w:tblBorders>
        <w:top w:color="4BACC6" w:space="0" w:sz="8" w:themeColor="accent5" w:val="single"/>
        <w:bottom w:color="4BACC6" w:space="0" w:sz="8" w:themeColor="accent5" w:val="single"/>
      </w:tblBorders>
    </w:tblPr>
    <w:tblStylePr w:type="firstRow">
      <w:pPr>
        <w:spacing w:after="0" w:before="0" w:line="240" w:lineRule="auto"/>
      </w:pPr>
      <w:rPr>
        <w:b/>
        <w:bCs/>
      </w:rPr>
      <w:tblPr/>
      <w:tcPr>
        <w:tcBorders>
          <w:top w:color="4BACC6" w:space="0" w:sz="8" w:themeColor="accent5" w:val="single"/>
          <w:left w:val="nil"/>
          <w:bottom w:color="4BACC6" w:space="0" w:sz="8" w:themeColor="accent5" w:val="single"/>
          <w:right w:val="nil"/>
          <w:insideH w:val="nil"/>
          <w:insideV w:val="nil"/>
        </w:tcBorders>
      </w:tcPr>
    </w:tblStylePr>
    <w:tblStylePr w:type="lastRow">
      <w:pPr>
        <w:spacing w:after="0" w:before="0" w:line="240" w:lineRule="auto"/>
      </w:pPr>
      <w:rPr>
        <w:b/>
        <w:bCs/>
      </w:rPr>
      <w:tblPr/>
      <w:tcPr>
        <w:tcBorders>
          <w:top w:color="4BACC6" w:space="0" w:sz="8" w:themeColor="accent5" w:val="single"/>
          <w:left w:val="nil"/>
          <w:bottom w:color="4BACC6" w:space="0" w:sz="8" w:themeColor="accent5"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D2EAF1" w:themeFill="accent5" w:themeFillTint="3F" w:val="clear"/>
      </w:tcPr>
    </w:tblStylePr>
    <w:tblStylePr w:type="band1Horz">
      <w:tblPr/>
      <w:tcPr>
        <w:tcBorders>
          <w:left w:val="nil"/>
          <w:right w:val="nil"/>
          <w:insideH w:val="nil"/>
          <w:insideV w:val="nil"/>
        </w:tcBorders>
        <w:shd w:color="auto" w:fill="D2EAF1" w:themeFill="accent5" w:themeFillTint="3F" w:val="clear"/>
      </w:tcPr>
    </w:tblStylePr>
  </w:style>
  <w:style w:styleId="LightShading-Accent6" w:type="table">
    <w:name w:val="Light Shading Accent 6"/>
    <w:basedOn w:val="TableNormal"/>
    <w:uiPriority w:val="60"/>
    <w:rsid w:val="00FC693F"/>
    <w:pPr>
      <w:spacing w:after="0" w:line="240" w:lineRule="auto"/>
    </w:pPr>
    <w:rPr>
      <w:color w:themeColor="accent6" w:themeShade="BF" w:val="E36C0A"/>
    </w:rPr>
    <w:tblPr>
      <w:tblStyleRowBandSize w:val="1"/>
      <w:tblStyleColBandSize w:val="1"/>
      <w:tblBorders>
        <w:top w:color="F79646" w:space="0" w:sz="8" w:themeColor="accent6" w:val="single"/>
        <w:bottom w:color="F79646" w:space="0" w:sz="8" w:themeColor="accent6" w:val="single"/>
      </w:tblBorders>
    </w:tblPr>
    <w:tblStylePr w:type="firstRow">
      <w:pPr>
        <w:spacing w:after="0" w:before="0" w:line="240" w:lineRule="auto"/>
      </w:pPr>
      <w:rPr>
        <w:b/>
        <w:bCs/>
      </w:rPr>
      <w:tblPr/>
      <w:tcPr>
        <w:tcBorders>
          <w:top w:color="F79646" w:space="0" w:sz="8" w:themeColor="accent6" w:val="single"/>
          <w:left w:val="nil"/>
          <w:bottom w:color="F79646" w:space="0" w:sz="8" w:themeColor="accent6" w:val="single"/>
          <w:right w:val="nil"/>
          <w:insideH w:val="nil"/>
          <w:insideV w:val="nil"/>
        </w:tcBorders>
      </w:tcPr>
    </w:tblStylePr>
    <w:tblStylePr w:type="lastRow">
      <w:pPr>
        <w:spacing w:after="0" w:before="0" w:line="240" w:lineRule="auto"/>
      </w:pPr>
      <w:rPr>
        <w:b/>
        <w:bCs/>
      </w:rPr>
      <w:tblPr/>
      <w:tcPr>
        <w:tcBorders>
          <w:top w:color="F79646" w:space="0" w:sz="8" w:themeColor="accent6" w:val="single"/>
          <w:left w:val="nil"/>
          <w:bottom w:color="F79646" w:space="0" w:sz="8" w:themeColor="accent6"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FDE4D0" w:themeFill="accent6" w:themeFillTint="3F" w:val="clear"/>
      </w:tcPr>
    </w:tblStylePr>
    <w:tblStylePr w:type="band1Horz">
      <w:tblPr/>
      <w:tcPr>
        <w:tcBorders>
          <w:left w:val="nil"/>
          <w:right w:val="nil"/>
          <w:insideH w:val="nil"/>
          <w:insideV w:val="nil"/>
        </w:tcBorders>
        <w:shd w:color="auto" w:fill="FDE4D0" w:themeFill="accent6" w:themeFillTint="3F" w:val="clear"/>
      </w:tcPr>
    </w:tblStylePr>
  </w:style>
  <w:style w:styleId="LightList" w:type="table">
    <w:name w:val="Light List"/>
    <w:basedOn w:val="TableNormal"/>
    <w:uiPriority w:val="61"/>
    <w:rsid w:val="00FC693F"/>
    <w:pPr>
      <w:spacing w:after="0" w:line="240" w:lineRule="auto"/>
    </w:pPr>
    <w:tblPr>
      <w:tblStyleRowBandSize w:val="1"/>
      <w:tblStyleColBandSize w:val="1"/>
      <w:tblBorders>
        <w:top w:color="000000" w:space="0" w:sz="8" w:themeColor="text1" w:val="single"/>
        <w:left w:color="000000" w:space="0" w:sz="8" w:themeColor="text1" w:val="single"/>
        <w:bottom w:color="000000" w:space="0" w:sz="8" w:themeColor="text1" w:val="single"/>
        <w:right w:color="000000" w:space="0" w:sz="8" w:themeColor="text1" w:val="single"/>
      </w:tblBorders>
    </w:tblPr>
    <w:tblStylePr w:type="firstRow">
      <w:pPr>
        <w:spacing w:after="0" w:before="0" w:line="240" w:lineRule="auto"/>
      </w:pPr>
      <w:rPr>
        <w:b/>
        <w:bCs/>
        <w:color w:themeColor="background1" w:val="FFFFFF"/>
      </w:rPr>
      <w:tblPr/>
      <w:tcPr>
        <w:shd w:color="auto" w:fill="000000" w:themeFill="text1" w:val="clear"/>
      </w:tcPr>
    </w:tblStylePr>
    <w:tblStylePr w:type="lastRow">
      <w:pPr>
        <w:spacing w:after="0" w:before="0" w:line="240" w:lineRule="auto"/>
      </w:pPr>
      <w:rPr>
        <w:b/>
        <w:bCs/>
      </w:rPr>
      <w:tblPr/>
      <w:tcPr>
        <w:tcBorders>
          <w:top w:color="000000" w:space="0" w:sz="6" w:themeColor="text1" w:val="double"/>
          <w:left w:color="000000" w:space="0" w:sz="8" w:themeColor="text1" w:val="single"/>
          <w:bottom w:color="000000" w:space="0" w:sz="8" w:themeColor="text1" w:val="single"/>
          <w:right w:color="000000" w:space="0" w:sz="8" w:themeColor="text1" w:val="single"/>
        </w:tcBorders>
      </w:tcPr>
    </w:tblStylePr>
    <w:tblStylePr w:type="firstCol">
      <w:rPr>
        <w:b/>
        <w:bCs/>
      </w:rPr>
    </w:tblStylePr>
    <w:tblStylePr w:type="lastCol">
      <w:rPr>
        <w:b/>
        <w:bCs/>
      </w:rPr>
    </w:tblStylePr>
    <w:tblStylePr w:type="band1Vert">
      <w:tblPr/>
      <w:tcPr>
        <w:tcBorders>
          <w:top w:color="000000" w:space="0" w:sz="8" w:themeColor="text1" w:val="single"/>
          <w:left w:color="000000" w:space="0" w:sz="8" w:themeColor="text1" w:val="single"/>
          <w:bottom w:color="000000" w:space="0" w:sz="8" w:themeColor="text1" w:val="single"/>
          <w:right w:color="000000" w:space="0" w:sz="8" w:themeColor="text1" w:val="single"/>
        </w:tcBorders>
      </w:tcPr>
    </w:tblStylePr>
    <w:tblStylePr w:type="band1Horz">
      <w:tblPr/>
      <w:tcPr>
        <w:tcBorders>
          <w:top w:color="000000" w:space="0" w:sz="8" w:themeColor="text1" w:val="single"/>
          <w:left w:color="000000" w:space="0" w:sz="8" w:themeColor="text1" w:val="single"/>
          <w:bottom w:color="000000" w:space="0" w:sz="8" w:themeColor="text1" w:val="single"/>
          <w:right w:color="000000" w:space="0" w:sz="8" w:themeColor="text1" w:val="single"/>
        </w:tcBorders>
      </w:tcPr>
    </w:tblStylePr>
  </w:style>
  <w:style w:styleId="LightList-Accent1" w:type="table">
    <w:name w:val="Light List Accent 1"/>
    <w:basedOn w:val="TableNormal"/>
    <w:uiPriority w:val="61"/>
    <w:rsid w:val="00FC693F"/>
    <w:pPr>
      <w:spacing w:after="0" w:line="240" w:lineRule="auto"/>
    </w:pPr>
    <w:tblPr>
      <w:tblStyleRowBandSize w:val="1"/>
      <w:tblStyleColBandSize w:val="1"/>
      <w:tblBorders>
        <w:top w:color="4F81BD" w:space="0" w:sz="8" w:themeColor="accent1" w:val="single"/>
        <w:left w:color="4F81BD" w:space="0" w:sz="8" w:themeColor="accent1" w:val="single"/>
        <w:bottom w:color="4F81BD" w:space="0" w:sz="8" w:themeColor="accent1" w:val="single"/>
        <w:right w:color="4F81BD" w:space="0" w:sz="8" w:themeColor="accent1" w:val="single"/>
      </w:tblBorders>
    </w:tblPr>
    <w:tblStylePr w:type="firstRow">
      <w:pPr>
        <w:spacing w:after="0" w:before="0" w:line="240" w:lineRule="auto"/>
      </w:pPr>
      <w:rPr>
        <w:b/>
        <w:bCs/>
        <w:color w:themeColor="background1" w:val="FFFFFF"/>
      </w:rPr>
      <w:tblPr/>
      <w:tcPr>
        <w:shd w:color="auto" w:fill="4F81BD" w:themeFill="accent1" w:val="clear"/>
      </w:tcPr>
    </w:tblStylePr>
    <w:tblStylePr w:type="lastRow">
      <w:pPr>
        <w:spacing w:after="0" w:before="0" w:line="240" w:lineRule="auto"/>
      </w:pPr>
      <w:rPr>
        <w:b/>
        <w:bCs/>
      </w:rPr>
      <w:tblPr/>
      <w:tcPr>
        <w:tcBorders>
          <w:top w:color="4F81BD" w:space="0" w:sz="6" w:themeColor="accent1" w:val="double"/>
          <w:left w:color="4F81BD" w:space="0" w:sz="8" w:themeColor="accent1" w:val="single"/>
          <w:bottom w:color="4F81BD" w:space="0" w:sz="8" w:themeColor="accent1" w:val="single"/>
          <w:right w:color="4F81BD" w:space="0" w:sz="8" w:themeColor="accent1" w:val="single"/>
        </w:tcBorders>
      </w:tcPr>
    </w:tblStylePr>
    <w:tblStylePr w:type="firstCol">
      <w:rPr>
        <w:b/>
        <w:bCs/>
      </w:rPr>
    </w:tblStylePr>
    <w:tblStylePr w:type="lastCol">
      <w:rPr>
        <w:b/>
        <w:bCs/>
      </w:rPr>
    </w:tblStylePr>
    <w:tblStylePr w:type="band1Vert">
      <w:tblPr/>
      <w:tcPr>
        <w:tcBorders>
          <w:top w:color="4F81BD" w:space="0" w:sz="8" w:themeColor="accent1" w:val="single"/>
          <w:left w:color="4F81BD" w:space="0" w:sz="8" w:themeColor="accent1" w:val="single"/>
          <w:bottom w:color="4F81BD" w:space="0" w:sz="8" w:themeColor="accent1" w:val="single"/>
          <w:right w:color="4F81BD" w:space="0" w:sz="8" w:themeColor="accent1" w:val="single"/>
        </w:tcBorders>
      </w:tcPr>
    </w:tblStylePr>
    <w:tblStylePr w:type="band1Horz">
      <w:tblPr/>
      <w:tcPr>
        <w:tcBorders>
          <w:top w:color="4F81BD" w:space="0" w:sz="8" w:themeColor="accent1" w:val="single"/>
          <w:left w:color="4F81BD" w:space="0" w:sz="8" w:themeColor="accent1" w:val="single"/>
          <w:bottom w:color="4F81BD" w:space="0" w:sz="8" w:themeColor="accent1" w:val="single"/>
          <w:right w:color="4F81BD" w:space="0" w:sz="8" w:themeColor="accent1" w:val="single"/>
        </w:tcBorders>
      </w:tcPr>
    </w:tblStylePr>
  </w:style>
  <w:style w:styleId="LightList-Accent2" w:type="table">
    <w:name w:val="Light List Accent 2"/>
    <w:basedOn w:val="TableNormal"/>
    <w:uiPriority w:val="61"/>
    <w:rsid w:val="00CB0664"/>
    <w:pPr>
      <w:spacing w:after="0" w:line="240" w:lineRule="auto"/>
    </w:pPr>
    <w:tblPr>
      <w:tblStyleRowBandSize w:val="1"/>
      <w:tblStyleColBandSize w:val="1"/>
      <w:tblBorders>
        <w:top w:color="C0504D" w:space="0" w:sz="8" w:themeColor="accent2" w:val="single"/>
        <w:left w:color="C0504D" w:space="0" w:sz="8" w:themeColor="accent2" w:val="single"/>
        <w:bottom w:color="C0504D" w:space="0" w:sz="8" w:themeColor="accent2" w:val="single"/>
        <w:right w:color="C0504D" w:space="0" w:sz="8" w:themeColor="accent2" w:val="single"/>
      </w:tblBorders>
    </w:tblPr>
    <w:tblStylePr w:type="firstRow">
      <w:pPr>
        <w:spacing w:after="0" w:before="0" w:line="240" w:lineRule="auto"/>
      </w:pPr>
      <w:rPr>
        <w:b/>
        <w:bCs/>
        <w:color w:themeColor="background1" w:val="FFFFFF"/>
      </w:rPr>
      <w:tblPr/>
      <w:tcPr>
        <w:shd w:color="auto" w:fill="C0504D" w:themeFill="accent2" w:val="clear"/>
      </w:tcPr>
    </w:tblStylePr>
    <w:tblStylePr w:type="lastRow">
      <w:pPr>
        <w:spacing w:after="0" w:before="0" w:line="240" w:lineRule="auto"/>
      </w:pPr>
      <w:rPr>
        <w:b/>
        <w:bCs/>
      </w:rPr>
      <w:tblPr/>
      <w:tcPr>
        <w:tcBorders>
          <w:top w:color="C0504D" w:space="0" w:sz="6" w:themeColor="accent2" w:val="double"/>
          <w:left w:color="C0504D" w:space="0" w:sz="8" w:themeColor="accent2" w:val="single"/>
          <w:bottom w:color="C0504D" w:space="0" w:sz="8" w:themeColor="accent2" w:val="single"/>
          <w:right w:color="C0504D" w:space="0" w:sz="8" w:themeColor="accent2" w:val="single"/>
        </w:tcBorders>
      </w:tcPr>
    </w:tblStylePr>
    <w:tblStylePr w:type="firstCol">
      <w:rPr>
        <w:b/>
        <w:bCs/>
      </w:rPr>
    </w:tblStylePr>
    <w:tblStylePr w:type="lastCol">
      <w:rPr>
        <w:b/>
        <w:bCs/>
      </w:rPr>
    </w:tblStylePr>
    <w:tblStylePr w:type="band1Vert">
      <w:tblPr/>
      <w:tcPr>
        <w:tcBorders>
          <w:top w:color="C0504D" w:space="0" w:sz="8" w:themeColor="accent2" w:val="single"/>
          <w:left w:color="C0504D" w:space="0" w:sz="8" w:themeColor="accent2" w:val="single"/>
          <w:bottom w:color="C0504D" w:space="0" w:sz="8" w:themeColor="accent2" w:val="single"/>
          <w:right w:color="C0504D" w:space="0" w:sz="8" w:themeColor="accent2" w:val="single"/>
        </w:tcBorders>
      </w:tcPr>
    </w:tblStylePr>
    <w:tblStylePr w:type="band1Horz">
      <w:tblPr/>
      <w:tcPr>
        <w:tcBorders>
          <w:top w:color="C0504D" w:space="0" w:sz="8" w:themeColor="accent2" w:val="single"/>
          <w:left w:color="C0504D" w:space="0" w:sz="8" w:themeColor="accent2" w:val="single"/>
          <w:bottom w:color="C0504D" w:space="0" w:sz="8" w:themeColor="accent2" w:val="single"/>
          <w:right w:color="C0504D" w:space="0" w:sz="8" w:themeColor="accent2" w:val="single"/>
        </w:tcBorders>
      </w:tcPr>
    </w:tblStylePr>
  </w:style>
  <w:style w:styleId="LightList-Accent3" w:type="table">
    <w:name w:val="Light List Accent 3"/>
    <w:basedOn w:val="TableNormal"/>
    <w:uiPriority w:val="61"/>
    <w:rsid w:val="00CB0664"/>
    <w:pPr>
      <w:spacing w:after="0" w:line="240" w:lineRule="auto"/>
    </w:pPr>
    <w:tblPr>
      <w:tblStyleRowBandSize w:val="1"/>
      <w:tblStyleColBandSize w:val="1"/>
      <w:tblBorders>
        <w:top w:color="9BBB59" w:space="0" w:sz="8" w:themeColor="accent3" w:val="single"/>
        <w:left w:color="9BBB59" w:space="0" w:sz="8" w:themeColor="accent3" w:val="single"/>
        <w:bottom w:color="9BBB59" w:space="0" w:sz="8" w:themeColor="accent3" w:val="single"/>
        <w:right w:color="9BBB59" w:space="0" w:sz="8" w:themeColor="accent3" w:val="single"/>
      </w:tblBorders>
    </w:tblPr>
    <w:tblStylePr w:type="firstRow">
      <w:pPr>
        <w:spacing w:after="0" w:before="0" w:line="240" w:lineRule="auto"/>
      </w:pPr>
      <w:rPr>
        <w:b/>
        <w:bCs/>
        <w:color w:themeColor="background1" w:val="FFFFFF"/>
      </w:rPr>
      <w:tblPr/>
      <w:tcPr>
        <w:shd w:color="auto" w:fill="9BBB59" w:themeFill="accent3" w:val="clear"/>
      </w:tcPr>
    </w:tblStylePr>
    <w:tblStylePr w:type="lastRow">
      <w:pPr>
        <w:spacing w:after="0" w:before="0" w:line="240" w:lineRule="auto"/>
      </w:pPr>
      <w:rPr>
        <w:b/>
        <w:bCs/>
      </w:rPr>
      <w:tblPr/>
      <w:tcPr>
        <w:tcBorders>
          <w:top w:color="9BBB59" w:space="0" w:sz="6" w:themeColor="accent3" w:val="double"/>
          <w:left w:color="9BBB59" w:space="0" w:sz="8" w:themeColor="accent3" w:val="single"/>
          <w:bottom w:color="9BBB59" w:space="0" w:sz="8" w:themeColor="accent3" w:val="single"/>
          <w:right w:color="9BBB59" w:space="0" w:sz="8" w:themeColor="accent3" w:val="single"/>
        </w:tcBorders>
      </w:tcPr>
    </w:tblStylePr>
    <w:tblStylePr w:type="firstCol">
      <w:rPr>
        <w:b/>
        <w:bCs/>
      </w:rPr>
    </w:tblStylePr>
    <w:tblStylePr w:type="lastCol">
      <w:rPr>
        <w:b/>
        <w:bCs/>
      </w:rPr>
    </w:tblStylePr>
    <w:tblStylePr w:type="band1Vert">
      <w:tblPr/>
      <w:tcPr>
        <w:tcBorders>
          <w:top w:color="9BBB59" w:space="0" w:sz="8" w:themeColor="accent3" w:val="single"/>
          <w:left w:color="9BBB59" w:space="0" w:sz="8" w:themeColor="accent3" w:val="single"/>
          <w:bottom w:color="9BBB59" w:space="0" w:sz="8" w:themeColor="accent3" w:val="single"/>
          <w:right w:color="9BBB59" w:space="0" w:sz="8" w:themeColor="accent3" w:val="single"/>
        </w:tcBorders>
      </w:tcPr>
    </w:tblStylePr>
    <w:tblStylePr w:type="band1Horz">
      <w:tblPr/>
      <w:tcPr>
        <w:tcBorders>
          <w:top w:color="9BBB59" w:space="0" w:sz="8" w:themeColor="accent3" w:val="single"/>
          <w:left w:color="9BBB59" w:space="0" w:sz="8" w:themeColor="accent3" w:val="single"/>
          <w:bottom w:color="9BBB59" w:space="0" w:sz="8" w:themeColor="accent3" w:val="single"/>
          <w:right w:color="9BBB59" w:space="0" w:sz="8" w:themeColor="accent3" w:val="single"/>
        </w:tcBorders>
      </w:tcPr>
    </w:tblStylePr>
  </w:style>
  <w:style w:styleId="LightList-Accent4" w:type="table">
    <w:name w:val="Light List Accent 4"/>
    <w:basedOn w:val="TableNormal"/>
    <w:uiPriority w:val="61"/>
    <w:rsid w:val="00CB0664"/>
    <w:pPr>
      <w:spacing w:after="0" w:line="240" w:lineRule="auto"/>
    </w:pPr>
    <w:tblPr>
      <w:tblStyleRowBandSize w:val="1"/>
      <w:tblStyleColBandSize w:val="1"/>
      <w:tblBorders>
        <w:top w:color="8064A2" w:space="0" w:sz="8" w:themeColor="accent4" w:val="single"/>
        <w:left w:color="8064A2" w:space="0" w:sz="8" w:themeColor="accent4" w:val="single"/>
        <w:bottom w:color="8064A2" w:space="0" w:sz="8" w:themeColor="accent4" w:val="single"/>
        <w:right w:color="8064A2" w:space="0" w:sz="8" w:themeColor="accent4" w:val="single"/>
      </w:tblBorders>
    </w:tblPr>
    <w:tblStylePr w:type="firstRow">
      <w:pPr>
        <w:spacing w:after="0" w:before="0" w:line="240" w:lineRule="auto"/>
      </w:pPr>
      <w:rPr>
        <w:b/>
        <w:bCs/>
        <w:color w:themeColor="background1" w:val="FFFFFF"/>
      </w:rPr>
      <w:tblPr/>
      <w:tcPr>
        <w:shd w:color="auto" w:fill="8064A2" w:themeFill="accent4" w:val="clear"/>
      </w:tcPr>
    </w:tblStylePr>
    <w:tblStylePr w:type="lastRow">
      <w:pPr>
        <w:spacing w:after="0" w:before="0" w:line="240" w:lineRule="auto"/>
      </w:pPr>
      <w:rPr>
        <w:b/>
        <w:bCs/>
      </w:rPr>
      <w:tblPr/>
      <w:tcPr>
        <w:tcBorders>
          <w:top w:color="8064A2" w:space="0" w:sz="6" w:themeColor="accent4" w:val="double"/>
          <w:left w:color="8064A2" w:space="0" w:sz="8" w:themeColor="accent4" w:val="single"/>
          <w:bottom w:color="8064A2" w:space="0" w:sz="8" w:themeColor="accent4" w:val="single"/>
          <w:right w:color="8064A2" w:space="0" w:sz="8" w:themeColor="accent4" w:val="single"/>
        </w:tcBorders>
      </w:tcPr>
    </w:tblStylePr>
    <w:tblStylePr w:type="firstCol">
      <w:rPr>
        <w:b/>
        <w:bCs/>
      </w:rPr>
    </w:tblStylePr>
    <w:tblStylePr w:type="lastCol">
      <w:rPr>
        <w:b/>
        <w:bCs/>
      </w:rPr>
    </w:tblStylePr>
    <w:tblStylePr w:type="band1Vert">
      <w:tblPr/>
      <w:tcPr>
        <w:tcBorders>
          <w:top w:color="8064A2" w:space="0" w:sz="8" w:themeColor="accent4" w:val="single"/>
          <w:left w:color="8064A2" w:space="0" w:sz="8" w:themeColor="accent4" w:val="single"/>
          <w:bottom w:color="8064A2" w:space="0" w:sz="8" w:themeColor="accent4" w:val="single"/>
          <w:right w:color="8064A2" w:space="0" w:sz="8" w:themeColor="accent4" w:val="single"/>
        </w:tcBorders>
      </w:tcPr>
    </w:tblStylePr>
    <w:tblStylePr w:type="band1Horz">
      <w:tblPr/>
      <w:tcPr>
        <w:tcBorders>
          <w:top w:color="8064A2" w:space="0" w:sz="8" w:themeColor="accent4" w:val="single"/>
          <w:left w:color="8064A2" w:space="0" w:sz="8" w:themeColor="accent4" w:val="single"/>
          <w:bottom w:color="8064A2" w:space="0" w:sz="8" w:themeColor="accent4" w:val="single"/>
          <w:right w:color="8064A2" w:space="0" w:sz="8" w:themeColor="accent4" w:val="single"/>
        </w:tcBorders>
      </w:tcPr>
    </w:tblStylePr>
  </w:style>
  <w:style w:styleId="LightList-Accent5" w:type="table">
    <w:name w:val="Light List Accent 5"/>
    <w:basedOn w:val="TableNormal"/>
    <w:uiPriority w:val="61"/>
    <w:rsid w:val="00CB0664"/>
    <w:pPr>
      <w:spacing w:after="0" w:line="240" w:lineRule="auto"/>
    </w:pPr>
    <w:tblPr>
      <w:tblStyleRowBandSize w:val="1"/>
      <w:tblStyleColBandSize w:val="1"/>
      <w:tblBorders>
        <w:top w:color="4BACC6" w:space="0" w:sz="8" w:themeColor="accent5" w:val="single"/>
        <w:left w:color="4BACC6" w:space="0" w:sz="8" w:themeColor="accent5" w:val="single"/>
        <w:bottom w:color="4BACC6" w:space="0" w:sz="8" w:themeColor="accent5" w:val="single"/>
        <w:right w:color="4BACC6" w:space="0" w:sz="8" w:themeColor="accent5" w:val="single"/>
      </w:tblBorders>
    </w:tblPr>
    <w:tblStylePr w:type="firstRow">
      <w:pPr>
        <w:spacing w:after="0" w:before="0" w:line="240" w:lineRule="auto"/>
      </w:pPr>
      <w:rPr>
        <w:b/>
        <w:bCs/>
        <w:color w:themeColor="background1" w:val="FFFFFF"/>
      </w:rPr>
      <w:tblPr/>
      <w:tcPr>
        <w:shd w:color="auto" w:fill="4BACC6" w:themeFill="accent5" w:val="clear"/>
      </w:tcPr>
    </w:tblStylePr>
    <w:tblStylePr w:type="lastRow">
      <w:pPr>
        <w:spacing w:after="0" w:before="0" w:line="240" w:lineRule="auto"/>
      </w:pPr>
      <w:rPr>
        <w:b/>
        <w:bCs/>
      </w:rPr>
      <w:tblPr/>
      <w:tcPr>
        <w:tcBorders>
          <w:top w:color="4BACC6" w:space="0" w:sz="6" w:themeColor="accent5" w:val="double"/>
          <w:left w:color="4BACC6" w:space="0" w:sz="8" w:themeColor="accent5" w:val="single"/>
          <w:bottom w:color="4BACC6" w:space="0" w:sz="8" w:themeColor="accent5" w:val="single"/>
          <w:right w:color="4BACC6" w:space="0" w:sz="8" w:themeColor="accent5" w:val="single"/>
        </w:tcBorders>
      </w:tcPr>
    </w:tblStylePr>
    <w:tblStylePr w:type="firstCol">
      <w:rPr>
        <w:b/>
        <w:bCs/>
      </w:rPr>
    </w:tblStylePr>
    <w:tblStylePr w:type="lastCol">
      <w:rPr>
        <w:b/>
        <w:bCs/>
      </w:rPr>
    </w:tblStylePr>
    <w:tblStylePr w:type="band1Vert">
      <w:tblPr/>
      <w:tcPr>
        <w:tcBorders>
          <w:top w:color="4BACC6" w:space="0" w:sz="8" w:themeColor="accent5" w:val="single"/>
          <w:left w:color="4BACC6" w:space="0" w:sz="8" w:themeColor="accent5" w:val="single"/>
          <w:bottom w:color="4BACC6" w:space="0" w:sz="8" w:themeColor="accent5" w:val="single"/>
          <w:right w:color="4BACC6" w:space="0" w:sz="8" w:themeColor="accent5" w:val="single"/>
        </w:tcBorders>
      </w:tcPr>
    </w:tblStylePr>
    <w:tblStylePr w:type="band1Horz">
      <w:tblPr/>
      <w:tcPr>
        <w:tcBorders>
          <w:top w:color="4BACC6" w:space="0" w:sz="8" w:themeColor="accent5" w:val="single"/>
          <w:left w:color="4BACC6" w:space="0" w:sz="8" w:themeColor="accent5" w:val="single"/>
          <w:bottom w:color="4BACC6" w:space="0" w:sz="8" w:themeColor="accent5" w:val="single"/>
          <w:right w:color="4BACC6" w:space="0" w:sz="8" w:themeColor="accent5" w:val="single"/>
        </w:tcBorders>
      </w:tcPr>
    </w:tblStylePr>
  </w:style>
  <w:style w:styleId="LightList-Accent6" w:type="table">
    <w:name w:val="Light List Accent 6"/>
    <w:basedOn w:val="TableNormal"/>
    <w:uiPriority w:val="61"/>
    <w:rsid w:val="00CB0664"/>
    <w:pPr>
      <w:spacing w:after="0" w:line="240" w:lineRule="auto"/>
    </w:pPr>
    <w:tblPr>
      <w:tblStyleRowBandSize w:val="1"/>
      <w:tblStyleColBandSize w:val="1"/>
      <w:tblBorders>
        <w:top w:color="F79646" w:space="0" w:sz="8" w:themeColor="accent6" w:val="single"/>
        <w:left w:color="F79646" w:space="0" w:sz="8" w:themeColor="accent6" w:val="single"/>
        <w:bottom w:color="F79646" w:space="0" w:sz="8" w:themeColor="accent6" w:val="single"/>
        <w:right w:color="F79646" w:space="0" w:sz="8" w:themeColor="accent6" w:val="single"/>
      </w:tblBorders>
    </w:tblPr>
    <w:tblStylePr w:type="firstRow">
      <w:pPr>
        <w:spacing w:after="0" w:before="0" w:line="240" w:lineRule="auto"/>
      </w:pPr>
      <w:rPr>
        <w:b/>
        <w:bCs/>
        <w:color w:themeColor="background1" w:val="FFFFFF"/>
      </w:rPr>
      <w:tblPr/>
      <w:tcPr>
        <w:shd w:color="auto" w:fill="F79646" w:themeFill="accent6" w:val="clear"/>
      </w:tcPr>
    </w:tblStylePr>
    <w:tblStylePr w:type="lastRow">
      <w:pPr>
        <w:spacing w:after="0" w:before="0" w:line="240" w:lineRule="auto"/>
      </w:pPr>
      <w:rPr>
        <w:b/>
        <w:bCs/>
      </w:rPr>
      <w:tblPr/>
      <w:tcPr>
        <w:tcBorders>
          <w:top w:color="F79646" w:space="0" w:sz="6" w:themeColor="accent6" w:val="double"/>
          <w:left w:color="F79646" w:space="0" w:sz="8" w:themeColor="accent6" w:val="single"/>
          <w:bottom w:color="F79646" w:space="0" w:sz="8" w:themeColor="accent6" w:val="single"/>
          <w:right w:color="F79646" w:space="0" w:sz="8" w:themeColor="accent6" w:val="single"/>
        </w:tcBorders>
      </w:tcPr>
    </w:tblStylePr>
    <w:tblStylePr w:type="firstCol">
      <w:rPr>
        <w:b/>
        <w:bCs/>
      </w:rPr>
    </w:tblStylePr>
    <w:tblStylePr w:type="lastCol">
      <w:rPr>
        <w:b/>
        <w:bCs/>
      </w:rPr>
    </w:tblStylePr>
    <w:tblStylePr w:type="band1Vert">
      <w:tblPr/>
      <w:tcPr>
        <w:tcBorders>
          <w:top w:color="F79646" w:space="0" w:sz="8" w:themeColor="accent6" w:val="single"/>
          <w:left w:color="F79646" w:space="0" w:sz="8" w:themeColor="accent6" w:val="single"/>
          <w:bottom w:color="F79646" w:space="0" w:sz="8" w:themeColor="accent6" w:val="single"/>
          <w:right w:color="F79646" w:space="0" w:sz="8" w:themeColor="accent6" w:val="single"/>
        </w:tcBorders>
      </w:tcPr>
    </w:tblStylePr>
    <w:tblStylePr w:type="band1Horz">
      <w:tblPr/>
      <w:tcPr>
        <w:tcBorders>
          <w:top w:color="F79646" w:space="0" w:sz="8" w:themeColor="accent6" w:val="single"/>
          <w:left w:color="F79646" w:space="0" w:sz="8" w:themeColor="accent6" w:val="single"/>
          <w:bottom w:color="F79646" w:space="0" w:sz="8" w:themeColor="accent6" w:val="single"/>
          <w:right w:color="F79646" w:space="0" w:sz="8" w:themeColor="accent6" w:val="single"/>
        </w:tcBorders>
      </w:tcPr>
    </w:tblStylePr>
  </w:style>
  <w:style w:styleId="LightGrid" w:type="table">
    <w:name w:val="Light Grid"/>
    <w:basedOn w:val="TableNormal"/>
    <w:uiPriority w:val="62"/>
    <w:rsid w:val="00CB0664"/>
    <w:pPr>
      <w:spacing w:after="0" w:line="240" w:lineRule="auto"/>
    </w:pPr>
    <w:tblPr>
      <w:tblStyleRowBandSize w:val="1"/>
      <w:tblStyleColBandSize w:val="1"/>
      <w:tblBorders>
        <w:top w:color="000000" w:space="0" w:sz="8" w:themeColor="text1" w:val="single"/>
        <w:left w:color="000000" w:space="0" w:sz="8" w:themeColor="text1" w:val="single"/>
        <w:bottom w:color="000000" w:space="0" w:sz="8" w:themeColor="text1" w:val="single"/>
        <w:right w:color="000000" w:space="0" w:sz="8" w:themeColor="text1" w:val="single"/>
        <w:insideH w:color="000000" w:space="0" w:sz="8" w:themeColor="text1" w:val="single"/>
        <w:insideV w:color="000000" w:space="0" w:sz="8" w:themeColor="text1" w:val="single"/>
      </w:tblBorders>
    </w:tblPr>
    <w:tblStylePr w:type="firstRow">
      <w:pPr>
        <w:spacing w:after="0" w:before="0" w:line="240" w:lineRule="auto"/>
      </w:pPr>
      <w:rPr>
        <w:rFonts w:asciiTheme="majorHAnsi" w:cstheme="majorBidi" w:eastAsiaTheme="majorEastAsia" w:hAnsiTheme="majorHAnsi"/>
        <w:b/>
        <w:bCs/>
      </w:rPr>
      <w:tblPr/>
      <w:tcPr>
        <w:tcBorders>
          <w:top w:color="000000" w:space="0" w:sz="8" w:themeColor="text1" w:val="single"/>
          <w:left w:color="000000" w:space="0" w:sz="8" w:themeColor="text1" w:val="single"/>
          <w:bottom w:color="000000" w:space="0" w:sz="18" w:themeColor="text1" w:val="single"/>
          <w:right w:color="000000" w:space="0" w:sz="8" w:themeColor="text1" w:val="single"/>
          <w:insideH w:val="nil"/>
          <w:insideV w:color="000000" w:space="0" w:sz="8" w:themeColor="text1" w:val="single"/>
        </w:tcBorders>
      </w:tcPr>
    </w:tblStylePr>
    <w:tblStylePr w:type="lastRow">
      <w:pPr>
        <w:spacing w:after="0" w:before="0" w:line="240" w:lineRule="auto"/>
      </w:pPr>
      <w:rPr>
        <w:rFonts w:asciiTheme="majorHAnsi" w:cstheme="majorBidi" w:eastAsiaTheme="majorEastAsia" w:hAnsiTheme="majorHAnsi"/>
        <w:b/>
        <w:bCs/>
      </w:rPr>
      <w:tblPr/>
      <w:tcPr>
        <w:tcBorders>
          <w:top w:color="000000" w:space="0" w:sz="6" w:themeColor="text1" w:val="double"/>
          <w:left w:color="000000" w:space="0" w:sz="8" w:themeColor="text1" w:val="single"/>
          <w:bottom w:color="000000" w:space="0" w:sz="8" w:themeColor="text1" w:val="single"/>
          <w:right w:color="000000" w:space="0" w:sz="8" w:themeColor="text1" w:val="single"/>
          <w:insideH w:val="nil"/>
          <w:insideV w:color="000000" w:space="0" w:sz="8" w:themeColor="text1"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000000" w:space="0" w:sz="8" w:themeColor="text1" w:val="single"/>
          <w:left w:color="000000" w:space="0" w:sz="8" w:themeColor="text1" w:val="single"/>
          <w:bottom w:color="000000" w:space="0" w:sz="8" w:themeColor="text1" w:val="single"/>
          <w:right w:color="000000" w:space="0" w:sz="8" w:themeColor="text1" w:val="single"/>
        </w:tcBorders>
      </w:tcPr>
    </w:tblStylePr>
    <w:tblStylePr w:type="band1Vert">
      <w:tblPr/>
      <w:tcPr>
        <w:tcBorders>
          <w:top w:color="000000" w:space="0" w:sz="8" w:themeColor="text1" w:val="single"/>
          <w:left w:color="000000" w:space="0" w:sz="8" w:themeColor="text1" w:val="single"/>
          <w:bottom w:color="000000" w:space="0" w:sz="8" w:themeColor="text1" w:val="single"/>
          <w:right w:color="000000" w:space="0" w:sz="8" w:themeColor="text1" w:val="single"/>
        </w:tcBorders>
        <w:shd w:color="auto" w:fill="C0C0C0" w:themeFill="text1" w:themeFillTint="3F" w:val="clear"/>
      </w:tcPr>
    </w:tblStylePr>
    <w:tblStylePr w:type="band1Horz">
      <w:tblPr/>
      <w:tcPr>
        <w:tcBorders>
          <w:top w:color="000000" w:space="0" w:sz="8" w:themeColor="text1" w:val="single"/>
          <w:left w:color="000000" w:space="0" w:sz="8" w:themeColor="text1" w:val="single"/>
          <w:bottom w:color="000000" w:space="0" w:sz="8" w:themeColor="text1" w:val="single"/>
          <w:right w:color="000000" w:space="0" w:sz="8" w:themeColor="text1" w:val="single"/>
          <w:insideV w:color="000000" w:space="0" w:sz="8" w:themeColor="text1" w:val="single"/>
        </w:tcBorders>
        <w:shd w:color="auto" w:fill="C0C0C0" w:themeFill="text1" w:themeFillTint="3F" w:val="clear"/>
      </w:tcPr>
    </w:tblStylePr>
    <w:tblStylePr w:type="band2Horz">
      <w:tblPr/>
      <w:tcPr>
        <w:tcBorders>
          <w:top w:color="000000" w:space="0" w:sz="8" w:themeColor="text1" w:val="single"/>
          <w:left w:color="000000" w:space="0" w:sz="8" w:themeColor="text1" w:val="single"/>
          <w:bottom w:color="000000" w:space="0" w:sz="8" w:themeColor="text1" w:val="single"/>
          <w:right w:color="000000" w:space="0" w:sz="8" w:themeColor="text1" w:val="single"/>
          <w:insideV w:color="000000" w:space="0" w:sz="8" w:themeColor="text1" w:val="single"/>
        </w:tcBorders>
      </w:tcPr>
    </w:tblStylePr>
  </w:style>
  <w:style w:styleId="LightGrid-Accent1" w:type="table">
    <w:name w:val="Light Grid Accent 1"/>
    <w:basedOn w:val="TableNormal"/>
    <w:uiPriority w:val="62"/>
    <w:rsid w:val="00CB0664"/>
    <w:pPr>
      <w:spacing w:after="0" w:line="240" w:lineRule="auto"/>
    </w:pPr>
    <w:tblPr>
      <w:tblStyleRowBandSize w:val="1"/>
      <w:tblStyleColBandSize w:val="1"/>
      <w:tblBorders>
        <w:top w:color="4F81BD" w:space="0" w:sz="8" w:themeColor="accent1" w:val="single"/>
        <w:left w:color="4F81BD" w:space="0" w:sz="8" w:themeColor="accent1" w:val="single"/>
        <w:bottom w:color="4F81BD" w:space="0" w:sz="8" w:themeColor="accent1" w:val="single"/>
        <w:right w:color="4F81BD" w:space="0" w:sz="8" w:themeColor="accent1" w:val="single"/>
        <w:insideH w:color="4F81BD" w:space="0" w:sz="8" w:themeColor="accent1" w:val="single"/>
        <w:insideV w:color="4F81BD" w:space="0" w:sz="8" w:themeColor="accent1" w:val="single"/>
      </w:tblBorders>
    </w:tblPr>
    <w:tblStylePr w:type="firstRow">
      <w:pPr>
        <w:spacing w:after="0" w:before="0" w:line="240" w:lineRule="auto"/>
      </w:pPr>
      <w:rPr>
        <w:rFonts w:asciiTheme="majorHAnsi" w:cstheme="majorBidi" w:eastAsiaTheme="majorEastAsia" w:hAnsiTheme="majorHAnsi"/>
        <w:b/>
        <w:bCs/>
      </w:rPr>
      <w:tblPr/>
      <w:tcPr>
        <w:tcBorders>
          <w:top w:color="4F81BD" w:space="0" w:sz="8" w:themeColor="accent1" w:val="single"/>
          <w:left w:color="4F81BD" w:space="0" w:sz="8" w:themeColor="accent1" w:val="single"/>
          <w:bottom w:color="4F81BD" w:space="0" w:sz="18" w:themeColor="accent1" w:val="single"/>
          <w:right w:color="4F81BD" w:space="0" w:sz="8" w:themeColor="accent1" w:val="single"/>
          <w:insideH w:val="nil"/>
          <w:insideV w:color="4F81BD" w:space="0" w:sz="8" w:themeColor="accent1" w:val="single"/>
        </w:tcBorders>
      </w:tcPr>
    </w:tblStylePr>
    <w:tblStylePr w:type="lastRow">
      <w:pPr>
        <w:spacing w:after="0" w:before="0" w:line="240" w:lineRule="auto"/>
      </w:pPr>
      <w:rPr>
        <w:rFonts w:asciiTheme="majorHAnsi" w:cstheme="majorBidi" w:eastAsiaTheme="majorEastAsia" w:hAnsiTheme="majorHAnsi"/>
        <w:b/>
        <w:bCs/>
      </w:rPr>
      <w:tblPr/>
      <w:tcPr>
        <w:tcBorders>
          <w:top w:color="4F81BD" w:space="0" w:sz="6" w:themeColor="accent1" w:val="double"/>
          <w:left w:color="4F81BD" w:space="0" w:sz="8" w:themeColor="accent1" w:val="single"/>
          <w:bottom w:color="4F81BD" w:space="0" w:sz="8" w:themeColor="accent1" w:val="single"/>
          <w:right w:color="4F81BD" w:space="0" w:sz="8" w:themeColor="accent1" w:val="single"/>
          <w:insideH w:val="nil"/>
          <w:insideV w:color="4F81BD" w:space="0" w:sz="8" w:themeColor="accent1"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4F81BD" w:space="0" w:sz="8" w:themeColor="accent1" w:val="single"/>
          <w:left w:color="4F81BD" w:space="0" w:sz="8" w:themeColor="accent1" w:val="single"/>
          <w:bottom w:color="4F81BD" w:space="0" w:sz="8" w:themeColor="accent1" w:val="single"/>
          <w:right w:color="4F81BD" w:space="0" w:sz="8" w:themeColor="accent1" w:val="single"/>
        </w:tcBorders>
      </w:tcPr>
    </w:tblStylePr>
    <w:tblStylePr w:type="band1Vert">
      <w:tblPr/>
      <w:tcPr>
        <w:tcBorders>
          <w:top w:color="4F81BD" w:space="0" w:sz="8" w:themeColor="accent1" w:val="single"/>
          <w:left w:color="4F81BD" w:space="0" w:sz="8" w:themeColor="accent1" w:val="single"/>
          <w:bottom w:color="4F81BD" w:space="0" w:sz="8" w:themeColor="accent1" w:val="single"/>
          <w:right w:color="4F81BD" w:space="0" w:sz="8" w:themeColor="accent1" w:val="single"/>
        </w:tcBorders>
        <w:shd w:color="auto" w:fill="D3DFEE" w:themeFill="accent1" w:themeFillTint="3F" w:val="clear"/>
      </w:tcPr>
    </w:tblStylePr>
    <w:tblStylePr w:type="band1Horz">
      <w:tblPr/>
      <w:tcPr>
        <w:tcBorders>
          <w:top w:color="4F81BD" w:space="0" w:sz="8" w:themeColor="accent1" w:val="single"/>
          <w:left w:color="4F81BD" w:space="0" w:sz="8" w:themeColor="accent1" w:val="single"/>
          <w:bottom w:color="4F81BD" w:space="0" w:sz="8" w:themeColor="accent1" w:val="single"/>
          <w:right w:color="4F81BD" w:space="0" w:sz="8" w:themeColor="accent1" w:val="single"/>
          <w:insideV w:color="4F81BD" w:space="0" w:sz="8" w:themeColor="accent1" w:val="single"/>
        </w:tcBorders>
        <w:shd w:color="auto" w:fill="D3DFEE" w:themeFill="accent1" w:themeFillTint="3F" w:val="clear"/>
      </w:tcPr>
    </w:tblStylePr>
    <w:tblStylePr w:type="band2Horz">
      <w:tblPr/>
      <w:tcPr>
        <w:tcBorders>
          <w:top w:color="4F81BD" w:space="0" w:sz="8" w:themeColor="accent1" w:val="single"/>
          <w:left w:color="4F81BD" w:space="0" w:sz="8" w:themeColor="accent1" w:val="single"/>
          <w:bottom w:color="4F81BD" w:space="0" w:sz="8" w:themeColor="accent1" w:val="single"/>
          <w:right w:color="4F81BD" w:space="0" w:sz="8" w:themeColor="accent1" w:val="single"/>
          <w:insideV w:color="4F81BD" w:space="0" w:sz="8" w:themeColor="accent1" w:val="single"/>
        </w:tcBorders>
      </w:tcPr>
    </w:tblStylePr>
  </w:style>
  <w:style w:styleId="LightGrid-Accent2" w:type="table">
    <w:name w:val="Light Grid Accent 2"/>
    <w:basedOn w:val="TableNormal"/>
    <w:uiPriority w:val="62"/>
    <w:rsid w:val="00CB0664"/>
    <w:pPr>
      <w:spacing w:after="0" w:line="240" w:lineRule="auto"/>
    </w:pPr>
    <w:tblPr>
      <w:tblStyleRowBandSize w:val="1"/>
      <w:tblStyleColBandSize w:val="1"/>
      <w:tblBorders>
        <w:top w:color="C0504D" w:space="0" w:sz="8" w:themeColor="accent2" w:val="single"/>
        <w:left w:color="C0504D" w:space="0" w:sz="8" w:themeColor="accent2" w:val="single"/>
        <w:bottom w:color="C0504D" w:space="0" w:sz="8" w:themeColor="accent2" w:val="single"/>
        <w:right w:color="C0504D" w:space="0" w:sz="8" w:themeColor="accent2" w:val="single"/>
        <w:insideH w:color="C0504D" w:space="0" w:sz="8" w:themeColor="accent2" w:val="single"/>
        <w:insideV w:color="C0504D" w:space="0" w:sz="8" w:themeColor="accent2" w:val="single"/>
      </w:tblBorders>
    </w:tblPr>
    <w:tblStylePr w:type="firstRow">
      <w:pPr>
        <w:spacing w:after="0" w:before="0" w:line="240" w:lineRule="auto"/>
      </w:pPr>
      <w:rPr>
        <w:rFonts w:asciiTheme="majorHAnsi" w:cstheme="majorBidi" w:eastAsiaTheme="majorEastAsia" w:hAnsiTheme="majorHAnsi"/>
        <w:b/>
        <w:bCs/>
      </w:rPr>
      <w:tblPr/>
      <w:tcPr>
        <w:tcBorders>
          <w:top w:color="C0504D" w:space="0" w:sz="8" w:themeColor="accent2" w:val="single"/>
          <w:left w:color="C0504D" w:space="0" w:sz="8" w:themeColor="accent2" w:val="single"/>
          <w:bottom w:color="C0504D" w:space="0" w:sz="18" w:themeColor="accent2" w:val="single"/>
          <w:right w:color="C0504D" w:space="0" w:sz="8" w:themeColor="accent2" w:val="single"/>
          <w:insideH w:val="nil"/>
          <w:insideV w:color="C0504D" w:space="0" w:sz="8" w:themeColor="accent2" w:val="single"/>
        </w:tcBorders>
      </w:tcPr>
    </w:tblStylePr>
    <w:tblStylePr w:type="lastRow">
      <w:pPr>
        <w:spacing w:after="0" w:before="0" w:line="240" w:lineRule="auto"/>
      </w:pPr>
      <w:rPr>
        <w:rFonts w:asciiTheme="majorHAnsi" w:cstheme="majorBidi" w:eastAsiaTheme="majorEastAsia" w:hAnsiTheme="majorHAnsi"/>
        <w:b/>
        <w:bCs/>
      </w:rPr>
      <w:tblPr/>
      <w:tcPr>
        <w:tcBorders>
          <w:top w:color="C0504D" w:space="0" w:sz="6" w:themeColor="accent2" w:val="double"/>
          <w:left w:color="C0504D" w:space="0" w:sz="8" w:themeColor="accent2" w:val="single"/>
          <w:bottom w:color="C0504D" w:space="0" w:sz="8" w:themeColor="accent2" w:val="single"/>
          <w:right w:color="C0504D" w:space="0" w:sz="8" w:themeColor="accent2" w:val="single"/>
          <w:insideH w:val="nil"/>
          <w:insideV w:color="C0504D" w:space="0" w:sz="8" w:themeColor="accent2"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C0504D" w:space="0" w:sz="8" w:themeColor="accent2" w:val="single"/>
          <w:left w:color="C0504D" w:space="0" w:sz="8" w:themeColor="accent2" w:val="single"/>
          <w:bottom w:color="C0504D" w:space="0" w:sz="8" w:themeColor="accent2" w:val="single"/>
          <w:right w:color="C0504D" w:space="0" w:sz="8" w:themeColor="accent2" w:val="single"/>
        </w:tcBorders>
      </w:tcPr>
    </w:tblStylePr>
    <w:tblStylePr w:type="band1Vert">
      <w:tblPr/>
      <w:tcPr>
        <w:tcBorders>
          <w:top w:color="C0504D" w:space="0" w:sz="8" w:themeColor="accent2" w:val="single"/>
          <w:left w:color="C0504D" w:space="0" w:sz="8" w:themeColor="accent2" w:val="single"/>
          <w:bottom w:color="C0504D" w:space="0" w:sz="8" w:themeColor="accent2" w:val="single"/>
          <w:right w:color="C0504D" w:space="0" w:sz="8" w:themeColor="accent2" w:val="single"/>
        </w:tcBorders>
        <w:shd w:color="auto" w:fill="EFD3D2" w:themeFill="accent2" w:themeFillTint="3F" w:val="clear"/>
      </w:tcPr>
    </w:tblStylePr>
    <w:tblStylePr w:type="band1Horz">
      <w:tblPr/>
      <w:tcPr>
        <w:tcBorders>
          <w:top w:color="C0504D" w:space="0" w:sz="8" w:themeColor="accent2" w:val="single"/>
          <w:left w:color="C0504D" w:space="0" w:sz="8" w:themeColor="accent2" w:val="single"/>
          <w:bottom w:color="C0504D" w:space="0" w:sz="8" w:themeColor="accent2" w:val="single"/>
          <w:right w:color="C0504D" w:space="0" w:sz="8" w:themeColor="accent2" w:val="single"/>
          <w:insideV w:color="C0504D" w:space="0" w:sz="8" w:themeColor="accent2" w:val="single"/>
        </w:tcBorders>
        <w:shd w:color="auto" w:fill="EFD3D2" w:themeFill="accent2" w:themeFillTint="3F" w:val="clear"/>
      </w:tcPr>
    </w:tblStylePr>
    <w:tblStylePr w:type="band2Horz">
      <w:tblPr/>
      <w:tcPr>
        <w:tcBorders>
          <w:top w:color="C0504D" w:space="0" w:sz="8" w:themeColor="accent2" w:val="single"/>
          <w:left w:color="C0504D" w:space="0" w:sz="8" w:themeColor="accent2" w:val="single"/>
          <w:bottom w:color="C0504D" w:space="0" w:sz="8" w:themeColor="accent2" w:val="single"/>
          <w:right w:color="C0504D" w:space="0" w:sz="8" w:themeColor="accent2" w:val="single"/>
          <w:insideV w:color="C0504D" w:space="0" w:sz="8" w:themeColor="accent2" w:val="single"/>
        </w:tcBorders>
      </w:tcPr>
    </w:tblStylePr>
  </w:style>
  <w:style w:styleId="LightGrid-Accent3" w:type="table">
    <w:name w:val="Light Grid Accent 3"/>
    <w:basedOn w:val="TableNormal"/>
    <w:uiPriority w:val="62"/>
    <w:rsid w:val="00CB0664"/>
    <w:pPr>
      <w:spacing w:after="0" w:line="240" w:lineRule="auto"/>
    </w:pPr>
    <w:tblPr>
      <w:tblStyleRowBandSize w:val="1"/>
      <w:tblStyleColBandSize w:val="1"/>
      <w:tblBorders>
        <w:top w:color="9BBB59" w:space="0" w:sz="8" w:themeColor="accent3" w:val="single"/>
        <w:left w:color="9BBB59" w:space="0" w:sz="8" w:themeColor="accent3" w:val="single"/>
        <w:bottom w:color="9BBB59" w:space="0" w:sz="8" w:themeColor="accent3" w:val="single"/>
        <w:right w:color="9BBB59" w:space="0" w:sz="8" w:themeColor="accent3" w:val="single"/>
        <w:insideH w:color="9BBB59" w:space="0" w:sz="8" w:themeColor="accent3" w:val="single"/>
        <w:insideV w:color="9BBB59" w:space="0" w:sz="8" w:themeColor="accent3" w:val="single"/>
      </w:tblBorders>
    </w:tblPr>
    <w:tblStylePr w:type="firstRow">
      <w:pPr>
        <w:spacing w:after="0" w:before="0" w:line="240" w:lineRule="auto"/>
      </w:pPr>
      <w:rPr>
        <w:rFonts w:asciiTheme="majorHAnsi" w:cstheme="majorBidi" w:eastAsiaTheme="majorEastAsia" w:hAnsiTheme="majorHAnsi"/>
        <w:b/>
        <w:bCs/>
      </w:rPr>
      <w:tblPr/>
      <w:tcPr>
        <w:tcBorders>
          <w:top w:color="9BBB59" w:space="0" w:sz="8" w:themeColor="accent3" w:val="single"/>
          <w:left w:color="9BBB59" w:space="0" w:sz="8" w:themeColor="accent3" w:val="single"/>
          <w:bottom w:color="9BBB59" w:space="0" w:sz="18" w:themeColor="accent3" w:val="single"/>
          <w:right w:color="9BBB59" w:space="0" w:sz="8" w:themeColor="accent3" w:val="single"/>
          <w:insideH w:val="nil"/>
          <w:insideV w:color="9BBB59" w:space="0" w:sz="8" w:themeColor="accent3" w:val="single"/>
        </w:tcBorders>
      </w:tcPr>
    </w:tblStylePr>
    <w:tblStylePr w:type="lastRow">
      <w:pPr>
        <w:spacing w:after="0" w:before="0" w:line="240" w:lineRule="auto"/>
      </w:pPr>
      <w:rPr>
        <w:rFonts w:asciiTheme="majorHAnsi" w:cstheme="majorBidi" w:eastAsiaTheme="majorEastAsia" w:hAnsiTheme="majorHAnsi"/>
        <w:b/>
        <w:bCs/>
      </w:rPr>
      <w:tblPr/>
      <w:tcPr>
        <w:tcBorders>
          <w:top w:color="9BBB59" w:space="0" w:sz="6" w:themeColor="accent3" w:val="double"/>
          <w:left w:color="9BBB59" w:space="0" w:sz="8" w:themeColor="accent3" w:val="single"/>
          <w:bottom w:color="9BBB59" w:space="0" w:sz="8" w:themeColor="accent3" w:val="single"/>
          <w:right w:color="9BBB59" w:space="0" w:sz="8" w:themeColor="accent3" w:val="single"/>
          <w:insideH w:val="nil"/>
          <w:insideV w:color="9BBB59" w:space="0" w:sz="8" w:themeColor="accent3"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9BBB59" w:space="0" w:sz="8" w:themeColor="accent3" w:val="single"/>
          <w:left w:color="9BBB59" w:space="0" w:sz="8" w:themeColor="accent3" w:val="single"/>
          <w:bottom w:color="9BBB59" w:space="0" w:sz="8" w:themeColor="accent3" w:val="single"/>
          <w:right w:color="9BBB59" w:space="0" w:sz="8" w:themeColor="accent3" w:val="single"/>
        </w:tcBorders>
      </w:tcPr>
    </w:tblStylePr>
    <w:tblStylePr w:type="band1Vert">
      <w:tblPr/>
      <w:tcPr>
        <w:tcBorders>
          <w:top w:color="9BBB59" w:space="0" w:sz="8" w:themeColor="accent3" w:val="single"/>
          <w:left w:color="9BBB59" w:space="0" w:sz="8" w:themeColor="accent3" w:val="single"/>
          <w:bottom w:color="9BBB59" w:space="0" w:sz="8" w:themeColor="accent3" w:val="single"/>
          <w:right w:color="9BBB59" w:space="0" w:sz="8" w:themeColor="accent3" w:val="single"/>
        </w:tcBorders>
        <w:shd w:color="auto" w:fill="E6EED5" w:themeFill="accent3" w:themeFillTint="3F" w:val="clear"/>
      </w:tcPr>
    </w:tblStylePr>
    <w:tblStylePr w:type="band1Horz">
      <w:tblPr/>
      <w:tcPr>
        <w:tcBorders>
          <w:top w:color="9BBB59" w:space="0" w:sz="8" w:themeColor="accent3" w:val="single"/>
          <w:left w:color="9BBB59" w:space="0" w:sz="8" w:themeColor="accent3" w:val="single"/>
          <w:bottom w:color="9BBB59" w:space="0" w:sz="8" w:themeColor="accent3" w:val="single"/>
          <w:right w:color="9BBB59" w:space="0" w:sz="8" w:themeColor="accent3" w:val="single"/>
          <w:insideV w:color="9BBB59" w:space="0" w:sz="8" w:themeColor="accent3" w:val="single"/>
        </w:tcBorders>
        <w:shd w:color="auto" w:fill="E6EED5" w:themeFill="accent3" w:themeFillTint="3F" w:val="clear"/>
      </w:tcPr>
    </w:tblStylePr>
    <w:tblStylePr w:type="band2Horz">
      <w:tblPr/>
      <w:tcPr>
        <w:tcBorders>
          <w:top w:color="9BBB59" w:space="0" w:sz="8" w:themeColor="accent3" w:val="single"/>
          <w:left w:color="9BBB59" w:space="0" w:sz="8" w:themeColor="accent3" w:val="single"/>
          <w:bottom w:color="9BBB59" w:space="0" w:sz="8" w:themeColor="accent3" w:val="single"/>
          <w:right w:color="9BBB59" w:space="0" w:sz="8" w:themeColor="accent3" w:val="single"/>
          <w:insideV w:color="9BBB59" w:space="0" w:sz="8" w:themeColor="accent3" w:val="single"/>
        </w:tcBorders>
      </w:tcPr>
    </w:tblStylePr>
  </w:style>
  <w:style w:styleId="LightGrid-Accent4" w:type="table">
    <w:name w:val="Light Grid Accent 4"/>
    <w:basedOn w:val="TableNormal"/>
    <w:uiPriority w:val="62"/>
    <w:rsid w:val="00CB0664"/>
    <w:pPr>
      <w:spacing w:after="0" w:line="240" w:lineRule="auto"/>
    </w:pPr>
    <w:tblPr>
      <w:tblStyleRowBandSize w:val="1"/>
      <w:tblStyleColBandSize w:val="1"/>
      <w:tblBorders>
        <w:top w:color="8064A2" w:space="0" w:sz="8" w:themeColor="accent4" w:val="single"/>
        <w:left w:color="8064A2" w:space="0" w:sz="8" w:themeColor="accent4" w:val="single"/>
        <w:bottom w:color="8064A2" w:space="0" w:sz="8" w:themeColor="accent4" w:val="single"/>
        <w:right w:color="8064A2" w:space="0" w:sz="8" w:themeColor="accent4" w:val="single"/>
        <w:insideH w:color="8064A2" w:space="0" w:sz="8" w:themeColor="accent4" w:val="single"/>
        <w:insideV w:color="8064A2" w:space="0" w:sz="8" w:themeColor="accent4" w:val="single"/>
      </w:tblBorders>
    </w:tblPr>
    <w:tblStylePr w:type="firstRow">
      <w:pPr>
        <w:spacing w:after="0" w:before="0" w:line="240" w:lineRule="auto"/>
      </w:pPr>
      <w:rPr>
        <w:rFonts w:asciiTheme="majorHAnsi" w:cstheme="majorBidi" w:eastAsiaTheme="majorEastAsia" w:hAnsiTheme="majorHAnsi"/>
        <w:b/>
        <w:bCs/>
      </w:rPr>
      <w:tblPr/>
      <w:tcPr>
        <w:tcBorders>
          <w:top w:color="8064A2" w:space="0" w:sz="8" w:themeColor="accent4" w:val="single"/>
          <w:left w:color="8064A2" w:space="0" w:sz="8" w:themeColor="accent4" w:val="single"/>
          <w:bottom w:color="8064A2" w:space="0" w:sz="18" w:themeColor="accent4" w:val="single"/>
          <w:right w:color="8064A2" w:space="0" w:sz="8" w:themeColor="accent4" w:val="single"/>
          <w:insideH w:val="nil"/>
          <w:insideV w:color="8064A2" w:space="0" w:sz="8" w:themeColor="accent4" w:val="single"/>
        </w:tcBorders>
      </w:tcPr>
    </w:tblStylePr>
    <w:tblStylePr w:type="lastRow">
      <w:pPr>
        <w:spacing w:after="0" w:before="0" w:line="240" w:lineRule="auto"/>
      </w:pPr>
      <w:rPr>
        <w:rFonts w:asciiTheme="majorHAnsi" w:cstheme="majorBidi" w:eastAsiaTheme="majorEastAsia" w:hAnsiTheme="majorHAnsi"/>
        <w:b/>
        <w:bCs/>
      </w:rPr>
      <w:tblPr/>
      <w:tcPr>
        <w:tcBorders>
          <w:top w:color="8064A2" w:space="0" w:sz="6" w:themeColor="accent4" w:val="double"/>
          <w:left w:color="8064A2" w:space="0" w:sz="8" w:themeColor="accent4" w:val="single"/>
          <w:bottom w:color="8064A2" w:space="0" w:sz="8" w:themeColor="accent4" w:val="single"/>
          <w:right w:color="8064A2" w:space="0" w:sz="8" w:themeColor="accent4" w:val="single"/>
          <w:insideH w:val="nil"/>
          <w:insideV w:color="8064A2" w:space="0" w:sz="8" w:themeColor="accent4"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8064A2" w:space="0" w:sz="8" w:themeColor="accent4" w:val="single"/>
          <w:left w:color="8064A2" w:space="0" w:sz="8" w:themeColor="accent4" w:val="single"/>
          <w:bottom w:color="8064A2" w:space="0" w:sz="8" w:themeColor="accent4" w:val="single"/>
          <w:right w:color="8064A2" w:space="0" w:sz="8" w:themeColor="accent4" w:val="single"/>
        </w:tcBorders>
      </w:tcPr>
    </w:tblStylePr>
    <w:tblStylePr w:type="band1Vert">
      <w:tblPr/>
      <w:tcPr>
        <w:tcBorders>
          <w:top w:color="8064A2" w:space="0" w:sz="8" w:themeColor="accent4" w:val="single"/>
          <w:left w:color="8064A2" w:space="0" w:sz="8" w:themeColor="accent4" w:val="single"/>
          <w:bottom w:color="8064A2" w:space="0" w:sz="8" w:themeColor="accent4" w:val="single"/>
          <w:right w:color="8064A2" w:space="0" w:sz="8" w:themeColor="accent4" w:val="single"/>
        </w:tcBorders>
        <w:shd w:color="auto" w:fill="DFD8E8" w:themeFill="accent4" w:themeFillTint="3F" w:val="clear"/>
      </w:tcPr>
    </w:tblStylePr>
    <w:tblStylePr w:type="band1Horz">
      <w:tblPr/>
      <w:tcPr>
        <w:tcBorders>
          <w:top w:color="8064A2" w:space="0" w:sz="8" w:themeColor="accent4" w:val="single"/>
          <w:left w:color="8064A2" w:space="0" w:sz="8" w:themeColor="accent4" w:val="single"/>
          <w:bottom w:color="8064A2" w:space="0" w:sz="8" w:themeColor="accent4" w:val="single"/>
          <w:right w:color="8064A2" w:space="0" w:sz="8" w:themeColor="accent4" w:val="single"/>
          <w:insideV w:color="8064A2" w:space="0" w:sz="8" w:themeColor="accent4" w:val="single"/>
        </w:tcBorders>
        <w:shd w:color="auto" w:fill="DFD8E8" w:themeFill="accent4" w:themeFillTint="3F" w:val="clear"/>
      </w:tcPr>
    </w:tblStylePr>
    <w:tblStylePr w:type="band2Horz">
      <w:tblPr/>
      <w:tcPr>
        <w:tcBorders>
          <w:top w:color="8064A2" w:space="0" w:sz="8" w:themeColor="accent4" w:val="single"/>
          <w:left w:color="8064A2" w:space="0" w:sz="8" w:themeColor="accent4" w:val="single"/>
          <w:bottom w:color="8064A2" w:space="0" w:sz="8" w:themeColor="accent4" w:val="single"/>
          <w:right w:color="8064A2" w:space="0" w:sz="8" w:themeColor="accent4" w:val="single"/>
          <w:insideV w:color="8064A2" w:space="0" w:sz="8" w:themeColor="accent4" w:val="single"/>
        </w:tcBorders>
      </w:tcPr>
    </w:tblStylePr>
  </w:style>
  <w:style w:styleId="LightGrid-Accent5" w:type="table">
    <w:name w:val="Light Grid Accent 5"/>
    <w:basedOn w:val="TableNormal"/>
    <w:uiPriority w:val="62"/>
    <w:rsid w:val="00CB0664"/>
    <w:pPr>
      <w:spacing w:after="0" w:line="240" w:lineRule="auto"/>
    </w:pPr>
    <w:tblPr>
      <w:tblStyleRowBandSize w:val="1"/>
      <w:tblStyleColBandSize w:val="1"/>
      <w:tblBorders>
        <w:top w:color="4BACC6" w:space="0" w:sz="8" w:themeColor="accent5" w:val="single"/>
        <w:left w:color="4BACC6" w:space="0" w:sz="8" w:themeColor="accent5" w:val="single"/>
        <w:bottom w:color="4BACC6" w:space="0" w:sz="8" w:themeColor="accent5" w:val="single"/>
        <w:right w:color="4BACC6" w:space="0" w:sz="8" w:themeColor="accent5" w:val="single"/>
        <w:insideH w:color="4BACC6" w:space="0" w:sz="8" w:themeColor="accent5" w:val="single"/>
        <w:insideV w:color="4BACC6" w:space="0" w:sz="8" w:themeColor="accent5" w:val="single"/>
      </w:tblBorders>
    </w:tblPr>
    <w:tblStylePr w:type="firstRow">
      <w:pPr>
        <w:spacing w:after="0" w:before="0" w:line="240" w:lineRule="auto"/>
      </w:pPr>
      <w:rPr>
        <w:rFonts w:asciiTheme="majorHAnsi" w:cstheme="majorBidi" w:eastAsiaTheme="majorEastAsia" w:hAnsiTheme="majorHAnsi"/>
        <w:b/>
        <w:bCs/>
      </w:rPr>
      <w:tblPr/>
      <w:tcPr>
        <w:tcBorders>
          <w:top w:color="4BACC6" w:space="0" w:sz="8" w:themeColor="accent5" w:val="single"/>
          <w:left w:color="4BACC6" w:space="0" w:sz="8" w:themeColor="accent5" w:val="single"/>
          <w:bottom w:color="4BACC6" w:space="0" w:sz="18" w:themeColor="accent5" w:val="single"/>
          <w:right w:color="4BACC6" w:space="0" w:sz="8" w:themeColor="accent5" w:val="single"/>
          <w:insideH w:val="nil"/>
          <w:insideV w:color="4BACC6" w:space="0" w:sz="8" w:themeColor="accent5" w:val="single"/>
        </w:tcBorders>
      </w:tcPr>
    </w:tblStylePr>
    <w:tblStylePr w:type="lastRow">
      <w:pPr>
        <w:spacing w:after="0" w:before="0" w:line="240" w:lineRule="auto"/>
      </w:pPr>
      <w:rPr>
        <w:rFonts w:asciiTheme="majorHAnsi" w:cstheme="majorBidi" w:eastAsiaTheme="majorEastAsia" w:hAnsiTheme="majorHAnsi"/>
        <w:b/>
        <w:bCs/>
      </w:rPr>
      <w:tblPr/>
      <w:tcPr>
        <w:tcBorders>
          <w:top w:color="4BACC6" w:space="0" w:sz="6" w:themeColor="accent5" w:val="double"/>
          <w:left w:color="4BACC6" w:space="0" w:sz="8" w:themeColor="accent5" w:val="single"/>
          <w:bottom w:color="4BACC6" w:space="0" w:sz="8" w:themeColor="accent5" w:val="single"/>
          <w:right w:color="4BACC6" w:space="0" w:sz="8" w:themeColor="accent5" w:val="single"/>
          <w:insideH w:val="nil"/>
          <w:insideV w:color="4BACC6" w:space="0" w:sz="8" w:themeColor="accent5"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4BACC6" w:space="0" w:sz="8" w:themeColor="accent5" w:val="single"/>
          <w:left w:color="4BACC6" w:space="0" w:sz="8" w:themeColor="accent5" w:val="single"/>
          <w:bottom w:color="4BACC6" w:space="0" w:sz="8" w:themeColor="accent5" w:val="single"/>
          <w:right w:color="4BACC6" w:space="0" w:sz="8" w:themeColor="accent5" w:val="single"/>
        </w:tcBorders>
      </w:tcPr>
    </w:tblStylePr>
    <w:tblStylePr w:type="band1Vert">
      <w:tblPr/>
      <w:tcPr>
        <w:tcBorders>
          <w:top w:color="4BACC6" w:space="0" w:sz="8" w:themeColor="accent5" w:val="single"/>
          <w:left w:color="4BACC6" w:space="0" w:sz="8" w:themeColor="accent5" w:val="single"/>
          <w:bottom w:color="4BACC6" w:space="0" w:sz="8" w:themeColor="accent5" w:val="single"/>
          <w:right w:color="4BACC6" w:space="0" w:sz="8" w:themeColor="accent5" w:val="single"/>
        </w:tcBorders>
        <w:shd w:color="auto" w:fill="D2EAF1" w:themeFill="accent5" w:themeFillTint="3F" w:val="clear"/>
      </w:tcPr>
    </w:tblStylePr>
    <w:tblStylePr w:type="band1Horz">
      <w:tblPr/>
      <w:tcPr>
        <w:tcBorders>
          <w:top w:color="4BACC6" w:space="0" w:sz="8" w:themeColor="accent5" w:val="single"/>
          <w:left w:color="4BACC6" w:space="0" w:sz="8" w:themeColor="accent5" w:val="single"/>
          <w:bottom w:color="4BACC6" w:space="0" w:sz="8" w:themeColor="accent5" w:val="single"/>
          <w:right w:color="4BACC6" w:space="0" w:sz="8" w:themeColor="accent5" w:val="single"/>
          <w:insideV w:color="4BACC6" w:space="0" w:sz="8" w:themeColor="accent5" w:val="single"/>
        </w:tcBorders>
        <w:shd w:color="auto" w:fill="D2EAF1" w:themeFill="accent5" w:themeFillTint="3F" w:val="clear"/>
      </w:tcPr>
    </w:tblStylePr>
    <w:tblStylePr w:type="band2Horz">
      <w:tblPr/>
      <w:tcPr>
        <w:tcBorders>
          <w:top w:color="4BACC6" w:space="0" w:sz="8" w:themeColor="accent5" w:val="single"/>
          <w:left w:color="4BACC6" w:space="0" w:sz="8" w:themeColor="accent5" w:val="single"/>
          <w:bottom w:color="4BACC6" w:space="0" w:sz="8" w:themeColor="accent5" w:val="single"/>
          <w:right w:color="4BACC6" w:space="0" w:sz="8" w:themeColor="accent5" w:val="single"/>
          <w:insideV w:color="4BACC6" w:space="0" w:sz="8" w:themeColor="accent5" w:val="single"/>
        </w:tcBorders>
      </w:tcPr>
    </w:tblStylePr>
  </w:style>
  <w:style w:styleId="LightGrid-Accent6" w:type="table">
    <w:name w:val="Light Grid Accent 6"/>
    <w:basedOn w:val="TableNormal"/>
    <w:uiPriority w:val="62"/>
    <w:rsid w:val="00CB0664"/>
    <w:pPr>
      <w:spacing w:after="0" w:line="240" w:lineRule="auto"/>
    </w:pPr>
    <w:tblPr>
      <w:tblStyleRowBandSize w:val="1"/>
      <w:tblStyleColBandSize w:val="1"/>
      <w:tblBorders>
        <w:top w:color="F79646" w:space="0" w:sz="8" w:themeColor="accent6" w:val="single"/>
        <w:left w:color="F79646" w:space="0" w:sz="8" w:themeColor="accent6" w:val="single"/>
        <w:bottom w:color="F79646" w:space="0" w:sz="8" w:themeColor="accent6" w:val="single"/>
        <w:right w:color="F79646" w:space="0" w:sz="8" w:themeColor="accent6" w:val="single"/>
        <w:insideH w:color="F79646" w:space="0" w:sz="8" w:themeColor="accent6" w:val="single"/>
        <w:insideV w:color="F79646" w:space="0" w:sz="8" w:themeColor="accent6" w:val="single"/>
      </w:tblBorders>
    </w:tblPr>
    <w:tblStylePr w:type="firstRow">
      <w:pPr>
        <w:spacing w:after="0" w:before="0" w:line="240" w:lineRule="auto"/>
      </w:pPr>
      <w:rPr>
        <w:rFonts w:asciiTheme="majorHAnsi" w:cstheme="majorBidi" w:eastAsiaTheme="majorEastAsia" w:hAnsiTheme="majorHAnsi"/>
        <w:b/>
        <w:bCs/>
      </w:rPr>
      <w:tblPr/>
      <w:tcPr>
        <w:tcBorders>
          <w:top w:color="F79646" w:space="0" w:sz="8" w:themeColor="accent6" w:val="single"/>
          <w:left w:color="F79646" w:space="0" w:sz="8" w:themeColor="accent6" w:val="single"/>
          <w:bottom w:color="F79646" w:space="0" w:sz="18" w:themeColor="accent6" w:val="single"/>
          <w:right w:color="F79646" w:space="0" w:sz="8" w:themeColor="accent6" w:val="single"/>
          <w:insideH w:val="nil"/>
          <w:insideV w:color="F79646" w:space="0" w:sz="8" w:themeColor="accent6" w:val="single"/>
        </w:tcBorders>
      </w:tcPr>
    </w:tblStylePr>
    <w:tblStylePr w:type="lastRow">
      <w:pPr>
        <w:spacing w:after="0" w:before="0" w:line="240" w:lineRule="auto"/>
      </w:pPr>
      <w:rPr>
        <w:rFonts w:asciiTheme="majorHAnsi" w:cstheme="majorBidi" w:eastAsiaTheme="majorEastAsia" w:hAnsiTheme="majorHAnsi"/>
        <w:b/>
        <w:bCs/>
      </w:rPr>
      <w:tblPr/>
      <w:tcPr>
        <w:tcBorders>
          <w:top w:color="F79646" w:space="0" w:sz="6" w:themeColor="accent6" w:val="double"/>
          <w:left w:color="F79646" w:space="0" w:sz="8" w:themeColor="accent6" w:val="single"/>
          <w:bottom w:color="F79646" w:space="0" w:sz="8" w:themeColor="accent6" w:val="single"/>
          <w:right w:color="F79646" w:space="0" w:sz="8" w:themeColor="accent6" w:val="single"/>
          <w:insideH w:val="nil"/>
          <w:insideV w:color="F79646" w:space="0" w:sz="8" w:themeColor="accent6"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F79646" w:space="0" w:sz="8" w:themeColor="accent6" w:val="single"/>
          <w:left w:color="F79646" w:space="0" w:sz="8" w:themeColor="accent6" w:val="single"/>
          <w:bottom w:color="F79646" w:space="0" w:sz="8" w:themeColor="accent6" w:val="single"/>
          <w:right w:color="F79646" w:space="0" w:sz="8" w:themeColor="accent6" w:val="single"/>
        </w:tcBorders>
      </w:tcPr>
    </w:tblStylePr>
    <w:tblStylePr w:type="band1Vert">
      <w:tblPr/>
      <w:tcPr>
        <w:tcBorders>
          <w:top w:color="F79646" w:space="0" w:sz="8" w:themeColor="accent6" w:val="single"/>
          <w:left w:color="F79646" w:space="0" w:sz="8" w:themeColor="accent6" w:val="single"/>
          <w:bottom w:color="F79646" w:space="0" w:sz="8" w:themeColor="accent6" w:val="single"/>
          <w:right w:color="F79646" w:space="0" w:sz="8" w:themeColor="accent6" w:val="single"/>
        </w:tcBorders>
        <w:shd w:color="auto" w:fill="FDE4D0" w:themeFill="accent6" w:themeFillTint="3F" w:val="clear"/>
      </w:tcPr>
    </w:tblStylePr>
    <w:tblStylePr w:type="band1Horz">
      <w:tblPr/>
      <w:tcPr>
        <w:tcBorders>
          <w:top w:color="F79646" w:space="0" w:sz="8" w:themeColor="accent6" w:val="single"/>
          <w:left w:color="F79646" w:space="0" w:sz="8" w:themeColor="accent6" w:val="single"/>
          <w:bottom w:color="F79646" w:space="0" w:sz="8" w:themeColor="accent6" w:val="single"/>
          <w:right w:color="F79646" w:space="0" w:sz="8" w:themeColor="accent6" w:val="single"/>
          <w:insideV w:color="F79646" w:space="0" w:sz="8" w:themeColor="accent6" w:val="single"/>
        </w:tcBorders>
        <w:shd w:color="auto" w:fill="FDE4D0" w:themeFill="accent6" w:themeFillTint="3F" w:val="clear"/>
      </w:tcPr>
    </w:tblStylePr>
    <w:tblStylePr w:type="band2Horz">
      <w:tblPr/>
      <w:tcPr>
        <w:tcBorders>
          <w:top w:color="F79646" w:space="0" w:sz="8" w:themeColor="accent6" w:val="single"/>
          <w:left w:color="F79646" w:space="0" w:sz="8" w:themeColor="accent6" w:val="single"/>
          <w:bottom w:color="F79646" w:space="0" w:sz="8" w:themeColor="accent6" w:val="single"/>
          <w:right w:color="F79646" w:space="0" w:sz="8" w:themeColor="accent6" w:val="single"/>
          <w:insideV w:color="F79646" w:space="0" w:sz="8" w:themeColor="accent6" w:val="single"/>
        </w:tcBorders>
      </w:tcPr>
    </w:tblStylePr>
  </w:style>
  <w:style w:styleId="MediumShading1" w:type="table">
    <w:name w:val="Medium Shading 1"/>
    <w:basedOn w:val="TableNormal"/>
    <w:uiPriority w:val="63"/>
    <w:rsid w:val="00CB0664"/>
    <w:pPr>
      <w:spacing w:after="0" w:line="240" w:lineRule="auto"/>
    </w:pPr>
    <w:tblPr>
      <w:tblStyleRowBandSize w:val="1"/>
      <w:tblStyleColBandSize w:val="1"/>
      <w:tblBorders>
        <w:top w:color="404040" w:space="0" w:sz="8" w:themeColor="text1" w:themeTint="BF" w:val="single"/>
        <w:left w:color="404040" w:space="0" w:sz="8" w:themeColor="text1" w:themeTint="BF" w:val="single"/>
        <w:bottom w:color="404040" w:space="0" w:sz="8" w:themeColor="text1" w:themeTint="BF" w:val="single"/>
        <w:right w:color="404040" w:space="0" w:sz="8" w:themeColor="text1" w:themeTint="BF" w:val="single"/>
        <w:insideH w:color="404040" w:space="0" w:sz="8" w:themeColor="text1" w:themeTint="BF" w:val="single"/>
      </w:tblBorders>
    </w:tblPr>
    <w:tblStylePr w:type="firstRow">
      <w:pPr>
        <w:spacing w:after="0" w:before="0" w:line="240" w:lineRule="auto"/>
      </w:pPr>
      <w:rPr>
        <w:b/>
        <w:bCs/>
        <w:color w:themeColor="background1" w:val="FFFFFF"/>
      </w:rPr>
      <w:tblPr/>
      <w:tcPr>
        <w:tcBorders>
          <w:top w:color="404040" w:space="0" w:sz="8" w:themeColor="text1" w:themeTint="BF" w:val="single"/>
          <w:left w:color="404040" w:space="0" w:sz="8" w:themeColor="text1" w:themeTint="BF" w:val="single"/>
          <w:bottom w:color="404040" w:space="0" w:sz="8" w:themeColor="text1" w:themeTint="BF" w:val="single"/>
          <w:right w:color="404040" w:space="0" w:sz="8" w:themeColor="text1" w:themeTint="BF" w:val="single"/>
          <w:insideH w:val="nil"/>
          <w:insideV w:val="nil"/>
        </w:tcBorders>
        <w:shd w:color="auto" w:fill="000000" w:themeFill="text1" w:val="clear"/>
      </w:tcPr>
    </w:tblStylePr>
    <w:tblStylePr w:type="lastRow">
      <w:pPr>
        <w:spacing w:after="0" w:before="0" w:line="240" w:lineRule="auto"/>
      </w:pPr>
      <w:rPr>
        <w:b/>
        <w:bCs/>
      </w:rPr>
      <w:tblPr/>
      <w:tcPr>
        <w:tcBorders>
          <w:top w:color="404040" w:space="0" w:sz="6" w:themeColor="text1" w:themeTint="BF" w:val="double"/>
          <w:left w:color="404040" w:space="0" w:sz="8" w:themeColor="text1" w:themeTint="BF" w:val="single"/>
          <w:bottom w:color="404040" w:space="0" w:sz="8" w:themeColor="text1" w:themeTint="BF" w:val="single"/>
          <w:right w:color="404040" w:space="0" w:sz="8" w:themeColor="text1" w:themeTint="BF" w:val="single"/>
          <w:insideH w:val="nil"/>
          <w:insideV w:val="nil"/>
        </w:tcBorders>
      </w:tcPr>
    </w:tblStylePr>
    <w:tblStylePr w:type="firstCol">
      <w:rPr>
        <w:b/>
        <w:bCs/>
      </w:rPr>
    </w:tblStylePr>
    <w:tblStylePr w:type="lastCol">
      <w:rPr>
        <w:b/>
        <w:bCs/>
      </w:rPr>
    </w:tblStylePr>
    <w:tblStylePr w:type="band1Vert">
      <w:tblPr/>
      <w:tcPr>
        <w:shd w:color="auto" w:fill="C0C0C0" w:themeFill="text1" w:themeFillTint="3F" w:val="clear"/>
      </w:tcPr>
    </w:tblStylePr>
    <w:tblStylePr w:type="band1Horz">
      <w:tblPr/>
      <w:tcPr>
        <w:tcBorders>
          <w:insideH w:val="nil"/>
          <w:insideV w:val="nil"/>
        </w:tcBorders>
        <w:shd w:color="auto" w:fill="C0C0C0" w:themeFill="text1" w:themeFillTint="3F" w:val="clear"/>
      </w:tcPr>
    </w:tblStylePr>
    <w:tblStylePr w:type="band2Horz">
      <w:tblPr/>
      <w:tcPr>
        <w:tcBorders>
          <w:insideH w:val="nil"/>
          <w:insideV w:val="nil"/>
        </w:tcBorders>
      </w:tcPr>
    </w:tblStylePr>
  </w:style>
  <w:style w:styleId="MediumShading1-Accent1" w:type="table">
    <w:name w:val="Medium Shading 1 Accent 1"/>
    <w:basedOn w:val="TableNormal"/>
    <w:uiPriority w:val="63"/>
    <w:rsid w:val="00CB0664"/>
    <w:pPr>
      <w:spacing w:after="0" w:line="240" w:lineRule="auto"/>
    </w:pPr>
    <w:tblPr>
      <w:tblStyleRowBandSize w:val="1"/>
      <w:tblStyleColBandSize w:val="1"/>
      <w:tblBorders>
        <w:top w:color="7BA0CD" w:space="0" w:sz="8" w:themeColor="accent1" w:themeTint="BF" w:val="single"/>
        <w:left w:color="7BA0CD" w:space="0" w:sz="8" w:themeColor="accent1" w:themeTint="BF" w:val="single"/>
        <w:bottom w:color="7BA0CD" w:space="0" w:sz="8" w:themeColor="accent1" w:themeTint="BF" w:val="single"/>
        <w:right w:color="7BA0CD" w:space="0" w:sz="8" w:themeColor="accent1" w:themeTint="BF" w:val="single"/>
        <w:insideH w:color="7BA0CD" w:space="0" w:sz="8" w:themeColor="accent1" w:themeTint="BF" w:val="single"/>
      </w:tblBorders>
    </w:tblPr>
    <w:tblStylePr w:type="firstRow">
      <w:pPr>
        <w:spacing w:after="0" w:before="0" w:line="240" w:lineRule="auto"/>
      </w:pPr>
      <w:rPr>
        <w:b/>
        <w:bCs/>
        <w:color w:themeColor="background1" w:val="FFFFFF"/>
      </w:rPr>
      <w:tblPr/>
      <w:tcPr>
        <w:tcBorders>
          <w:top w:color="7BA0CD" w:space="0" w:sz="8" w:themeColor="accent1" w:themeTint="BF" w:val="single"/>
          <w:left w:color="7BA0CD" w:space="0" w:sz="8" w:themeColor="accent1" w:themeTint="BF" w:val="single"/>
          <w:bottom w:color="7BA0CD" w:space="0" w:sz="8" w:themeColor="accent1" w:themeTint="BF" w:val="single"/>
          <w:right w:color="7BA0CD" w:space="0" w:sz="8" w:themeColor="accent1" w:themeTint="BF" w:val="single"/>
          <w:insideH w:val="nil"/>
          <w:insideV w:val="nil"/>
        </w:tcBorders>
        <w:shd w:color="auto" w:fill="4F81BD" w:themeFill="accent1" w:val="clear"/>
      </w:tcPr>
    </w:tblStylePr>
    <w:tblStylePr w:type="lastRow">
      <w:pPr>
        <w:spacing w:after="0" w:before="0" w:line="240" w:lineRule="auto"/>
      </w:pPr>
      <w:rPr>
        <w:b/>
        <w:bCs/>
      </w:rPr>
      <w:tblPr/>
      <w:tcPr>
        <w:tcBorders>
          <w:top w:color="7BA0CD" w:space="0" w:sz="6" w:themeColor="accent1" w:themeTint="BF" w:val="double"/>
          <w:left w:color="7BA0CD" w:space="0" w:sz="8" w:themeColor="accent1" w:themeTint="BF" w:val="single"/>
          <w:bottom w:color="7BA0CD" w:space="0" w:sz="8" w:themeColor="accent1" w:themeTint="BF" w:val="single"/>
          <w:right w:color="7BA0CD" w:space="0" w:sz="8" w:themeColor="accent1" w:themeTint="BF" w:val="single"/>
          <w:insideH w:val="nil"/>
          <w:insideV w:val="nil"/>
        </w:tcBorders>
      </w:tcPr>
    </w:tblStylePr>
    <w:tblStylePr w:type="firstCol">
      <w:rPr>
        <w:b/>
        <w:bCs/>
      </w:rPr>
    </w:tblStylePr>
    <w:tblStylePr w:type="lastCol">
      <w:rPr>
        <w:b/>
        <w:bCs/>
      </w:rPr>
    </w:tblStylePr>
    <w:tblStylePr w:type="band1Vert">
      <w:tblPr/>
      <w:tcPr>
        <w:shd w:color="auto" w:fill="D3DFEE" w:themeFill="accent1" w:themeFillTint="3F" w:val="clear"/>
      </w:tcPr>
    </w:tblStylePr>
    <w:tblStylePr w:type="band1Horz">
      <w:tblPr/>
      <w:tcPr>
        <w:tcBorders>
          <w:insideH w:val="nil"/>
          <w:insideV w:val="nil"/>
        </w:tcBorders>
        <w:shd w:color="auto" w:fill="D3DFEE" w:themeFill="accent1" w:themeFillTint="3F" w:val="clear"/>
      </w:tcPr>
    </w:tblStylePr>
    <w:tblStylePr w:type="band2Horz">
      <w:tblPr/>
      <w:tcPr>
        <w:tcBorders>
          <w:insideH w:val="nil"/>
          <w:insideV w:val="nil"/>
        </w:tcBorders>
      </w:tcPr>
    </w:tblStylePr>
  </w:style>
  <w:style w:styleId="MediumShading1-Accent2" w:type="table">
    <w:name w:val="Medium Shading 1 Accent 2"/>
    <w:basedOn w:val="TableNormal"/>
    <w:uiPriority w:val="63"/>
    <w:rsid w:val="00CB0664"/>
    <w:pPr>
      <w:spacing w:after="0" w:line="240" w:lineRule="auto"/>
    </w:pPr>
    <w:tblPr>
      <w:tblStyleRowBandSize w:val="1"/>
      <w:tblStyleColBandSize w:val="1"/>
      <w:tblBorders>
        <w:top w:color="CF7B79" w:space="0" w:sz="8" w:themeColor="accent2" w:themeTint="BF" w:val="single"/>
        <w:left w:color="CF7B79" w:space="0" w:sz="8" w:themeColor="accent2" w:themeTint="BF" w:val="single"/>
        <w:bottom w:color="CF7B79" w:space="0" w:sz="8" w:themeColor="accent2" w:themeTint="BF" w:val="single"/>
        <w:right w:color="CF7B79" w:space="0" w:sz="8" w:themeColor="accent2" w:themeTint="BF" w:val="single"/>
        <w:insideH w:color="CF7B79" w:space="0" w:sz="8" w:themeColor="accent2" w:themeTint="BF" w:val="single"/>
      </w:tblBorders>
    </w:tblPr>
    <w:tblStylePr w:type="firstRow">
      <w:pPr>
        <w:spacing w:after="0" w:before="0" w:line="240" w:lineRule="auto"/>
      </w:pPr>
      <w:rPr>
        <w:b/>
        <w:bCs/>
        <w:color w:themeColor="background1" w:val="FFFFFF"/>
      </w:rPr>
      <w:tblPr/>
      <w:tcPr>
        <w:tcBorders>
          <w:top w:color="CF7B79" w:space="0" w:sz="8" w:themeColor="accent2" w:themeTint="BF" w:val="single"/>
          <w:left w:color="CF7B79" w:space="0" w:sz="8" w:themeColor="accent2" w:themeTint="BF" w:val="single"/>
          <w:bottom w:color="CF7B79" w:space="0" w:sz="8" w:themeColor="accent2" w:themeTint="BF" w:val="single"/>
          <w:right w:color="CF7B79" w:space="0" w:sz="8" w:themeColor="accent2" w:themeTint="BF" w:val="single"/>
          <w:insideH w:val="nil"/>
          <w:insideV w:val="nil"/>
        </w:tcBorders>
        <w:shd w:color="auto" w:fill="C0504D" w:themeFill="accent2" w:val="clear"/>
      </w:tcPr>
    </w:tblStylePr>
    <w:tblStylePr w:type="lastRow">
      <w:pPr>
        <w:spacing w:after="0" w:before="0" w:line="240" w:lineRule="auto"/>
      </w:pPr>
      <w:rPr>
        <w:b/>
        <w:bCs/>
      </w:rPr>
      <w:tblPr/>
      <w:tcPr>
        <w:tcBorders>
          <w:top w:color="CF7B79" w:space="0" w:sz="6" w:themeColor="accent2" w:themeTint="BF" w:val="double"/>
          <w:left w:color="CF7B79" w:space="0" w:sz="8" w:themeColor="accent2" w:themeTint="BF" w:val="single"/>
          <w:bottom w:color="CF7B79" w:space="0" w:sz="8" w:themeColor="accent2" w:themeTint="BF" w:val="single"/>
          <w:right w:color="CF7B79" w:space="0" w:sz="8" w:themeColor="accent2" w:themeTint="BF" w:val="single"/>
          <w:insideH w:val="nil"/>
          <w:insideV w:val="nil"/>
        </w:tcBorders>
      </w:tcPr>
    </w:tblStylePr>
    <w:tblStylePr w:type="firstCol">
      <w:rPr>
        <w:b/>
        <w:bCs/>
      </w:rPr>
    </w:tblStylePr>
    <w:tblStylePr w:type="lastCol">
      <w:rPr>
        <w:b/>
        <w:bCs/>
      </w:rPr>
    </w:tblStylePr>
    <w:tblStylePr w:type="band1Vert">
      <w:tblPr/>
      <w:tcPr>
        <w:shd w:color="auto" w:fill="EFD3D2" w:themeFill="accent2" w:themeFillTint="3F" w:val="clear"/>
      </w:tcPr>
    </w:tblStylePr>
    <w:tblStylePr w:type="band1Horz">
      <w:tblPr/>
      <w:tcPr>
        <w:tcBorders>
          <w:insideH w:val="nil"/>
          <w:insideV w:val="nil"/>
        </w:tcBorders>
        <w:shd w:color="auto" w:fill="EFD3D2" w:themeFill="accent2" w:themeFillTint="3F" w:val="clear"/>
      </w:tcPr>
    </w:tblStylePr>
    <w:tblStylePr w:type="band2Horz">
      <w:tblPr/>
      <w:tcPr>
        <w:tcBorders>
          <w:insideH w:val="nil"/>
          <w:insideV w:val="nil"/>
        </w:tcBorders>
      </w:tcPr>
    </w:tblStylePr>
  </w:style>
  <w:style w:styleId="MediumShading1-Accent3" w:type="table">
    <w:name w:val="Medium Shading 1 Accent 3"/>
    <w:basedOn w:val="TableNormal"/>
    <w:uiPriority w:val="63"/>
    <w:rsid w:val="00CB0664"/>
    <w:pPr>
      <w:spacing w:after="0" w:line="240" w:lineRule="auto"/>
    </w:pPr>
    <w:tblPr>
      <w:tblStyleRowBandSize w:val="1"/>
      <w:tblStyleColBandSize w:val="1"/>
      <w:tblBorders>
        <w:top w:color="B3CC82" w:space="0" w:sz="8" w:themeColor="accent3" w:themeTint="BF" w:val="single"/>
        <w:left w:color="B3CC82" w:space="0" w:sz="8" w:themeColor="accent3" w:themeTint="BF" w:val="single"/>
        <w:bottom w:color="B3CC82" w:space="0" w:sz="8" w:themeColor="accent3" w:themeTint="BF" w:val="single"/>
        <w:right w:color="B3CC82" w:space="0" w:sz="8" w:themeColor="accent3" w:themeTint="BF" w:val="single"/>
        <w:insideH w:color="B3CC82" w:space="0" w:sz="8" w:themeColor="accent3" w:themeTint="BF" w:val="single"/>
      </w:tblBorders>
    </w:tblPr>
    <w:tblStylePr w:type="firstRow">
      <w:pPr>
        <w:spacing w:after="0" w:before="0" w:line="240" w:lineRule="auto"/>
      </w:pPr>
      <w:rPr>
        <w:b/>
        <w:bCs/>
        <w:color w:themeColor="background1" w:val="FFFFFF"/>
      </w:rPr>
      <w:tblPr/>
      <w:tcPr>
        <w:tcBorders>
          <w:top w:color="B3CC82" w:space="0" w:sz="8" w:themeColor="accent3" w:themeTint="BF" w:val="single"/>
          <w:left w:color="B3CC82" w:space="0" w:sz="8" w:themeColor="accent3" w:themeTint="BF" w:val="single"/>
          <w:bottom w:color="B3CC82" w:space="0" w:sz="8" w:themeColor="accent3" w:themeTint="BF" w:val="single"/>
          <w:right w:color="B3CC82" w:space="0" w:sz="8" w:themeColor="accent3" w:themeTint="BF" w:val="single"/>
          <w:insideH w:val="nil"/>
          <w:insideV w:val="nil"/>
        </w:tcBorders>
        <w:shd w:color="auto" w:fill="9BBB59" w:themeFill="accent3" w:val="clear"/>
      </w:tcPr>
    </w:tblStylePr>
    <w:tblStylePr w:type="lastRow">
      <w:pPr>
        <w:spacing w:after="0" w:before="0" w:line="240" w:lineRule="auto"/>
      </w:pPr>
      <w:rPr>
        <w:b/>
        <w:bCs/>
      </w:rPr>
      <w:tblPr/>
      <w:tcPr>
        <w:tcBorders>
          <w:top w:color="B3CC82" w:space="0" w:sz="6" w:themeColor="accent3" w:themeTint="BF" w:val="double"/>
          <w:left w:color="B3CC82" w:space="0" w:sz="8" w:themeColor="accent3" w:themeTint="BF" w:val="single"/>
          <w:bottom w:color="B3CC82" w:space="0" w:sz="8" w:themeColor="accent3" w:themeTint="BF" w:val="single"/>
          <w:right w:color="B3CC82" w:space="0" w:sz="8" w:themeColor="accent3" w:themeTint="BF" w:val="single"/>
          <w:insideH w:val="nil"/>
          <w:insideV w:val="nil"/>
        </w:tcBorders>
      </w:tcPr>
    </w:tblStylePr>
    <w:tblStylePr w:type="firstCol">
      <w:rPr>
        <w:b/>
        <w:bCs/>
      </w:rPr>
    </w:tblStylePr>
    <w:tblStylePr w:type="lastCol">
      <w:rPr>
        <w:b/>
        <w:bCs/>
      </w:rPr>
    </w:tblStylePr>
    <w:tblStylePr w:type="band1Vert">
      <w:tblPr/>
      <w:tcPr>
        <w:shd w:color="auto" w:fill="E6EED5" w:themeFill="accent3" w:themeFillTint="3F" w:val="clear"/>
      </w:tcPr>
    </w:tblStylePr>
    <w:tblStylePr w:type="band1Horz">
      <w:tblPr/>
      <w:tcPr>
        <w:tcBorders>
          <w:insideH w:val="nil"/>
          <w:insideV w:val="nil"/>
        </w:tcBorders>
        <w:shd w:color="auto" w:fill="E6EED5" w:themeFill="accent3" w:themeFillTint="3F" w:val="clear"/>
      </w:tcPr>
    </w:tblStylePr>
    <w:tblStylePr w:type="band2Horz">
      <w:tblPr/>
      <w:tcPr>
        <w:tcBorders>
          <w:insideH w:val="nil"/>
          <w:insideV w:val="nil"/>
        </w:tcBorders>
      </w:tcPr>
    </w:tblStylePr>
  </w:style>
  <w:style w:styleId="MediumShading1-Accent4" w:type="table">
    <w:name w:val="Medium Shading 1 Accent 4"/>
    <w:basedOn w:val="TableNormal"/>
    <w:uiPriority w:val="63"/>
    <w:rsid w:val="00CB0664"/>
    <w:pPr>
      <w:spacing w:after="0" w:line="240" w:lineRule="auto"/>
    </w:pPr>
    <w:tblPr>
      <w:tblStyleRowBandSize w:val="1"/>
      <w:tblStyleColBandSize w:val="1"/>
      <w:tblBorders>
        <w:top w:color="9F8AB9" w:space="0" w:sz="8" w:themeColor="accent4" w:themeTint="BF" w:val="single"/>
        <w:left w:color="9F8AB9" w:space="0" w:sz="8" w:themeColor="accent4" w:themeTint="BF" w:val="single"/>
        <w:bottom w:color="9F8AB9" w:space="0" w:sz="8" w:themeColor="accent4" w:themeTint="BF" w:val="single"/>
        <w:right w:color="9F8AB9" w:space="0" w:sz="8" w:themeColor="accent4" w:themeTint="BF" w:val="single"/>
        <w:insideH w:color="9F8AB9" w:space="0" w:sz="8" w:themeColor="accent4" w:themeTint="BF" w:val="single"/>
      </w:tblBorders>
    </w:tblPr>
    <w:tblStylePr w:type="firstRow">
      <w:pPr>
        <w:spacing w:after="0" w:before="0" w:line="240" w:lineRule="auto"/>
      </w:pPr>
      <w:rPr>
        <w:b/>
        <w:bCs/>
        <w:color w:themeColor="background1" w:val="FFFFFF"/>
      </w:rPr>
      <w:tblPr/>
      <w:tcPr>
        <w:tcBorders>
          <w:top w:color="9F8AB9" w:space="0" w:sz="8" w:themeColor="accent4" w:themeTint="BF" w:val="single"/>
          <w:left w:color="9F8AB9" w:space="0" w:sz="8" w:themeColor="accent4" w:themeTint="BF" w:val="single"/>
          <w:bottom w:color="9F8AB9" w:space="0" w:sz="8" w:themeColor="accent4" w:themeTint="BF" w:val="single"/>
          <w:right w:color="9F8AB9" w:space="0" w:sz="8" w:themeColor="accent4" w:themeTint="BF" w:val="single"/>
          <w:insideH w:val="nil"/>
          <w:insideV w:val="nil"/>
        </w:tcBorders>
        <w:shd w:color="auto" w:fill="8064A2" w:themeFill="accent4" w:val="clear"/>
      </w:tcPr>
    </w:tblStylePr>
    <w:tblStylePr w:type="lastRow">
      <w:pPr>
        <w:spacing w:after="0" w:before="0" w:line="240" w:lineRule="auto"/>
      </w:pPr>
      <w:rPr>
        <w:b/>
        <w:bCs/>
      </w:rPr>
      <w:tblPr/>
      <w:tcPr>
        <w:tcBorders>
          <w:top w:color="9F8AB9" w:space="0" w:sz="6" w:themeColor="accent4" w:themeTint="BF" w:val="double"/>
          <w:left w:color="9F8AB9" w:space="0" w:sz="8" w:themeColor="accent4" w:themeTint="BF" w:val="single"/>
          <w:bottom w:color="9F8AB9" w:space="0" w:sz="8" w:themeColor="accent4" w:themeTint="BF" w:val="single"/>
          <w:right w:color="9F8AB9" w:space="0" w:sz="8" w:themeColor="accent4" w:themeTint="BF" w:val="single"/>
          <w:insideH w:val="nil"/>
          <w:insideV w:val="nil"/>
        </w:tcBorders>
      </w:tcPr>
    </w:tblStylePr>
    <w:tblStylePr w:type="firstCol">
      <w:rPr>
        <w:b/>
        <w:bCs/>
      </w:rPr>
    </w:tblStylePr>
    <w:tblStylePr w:type="lastCol">
      <w:rPr>
        <w:b/>
        <w:bCs/>
      </w:rPr>
    </w:tblStylePr>
    <w:tblStylePr w:type="band1Vert">
      <w:tblPr/>
      <w:tcPr>
        <w:shd w:color="auto" w:fill="DFD8E8" w:themeFill="accent4" w:themeFillTint="3F" w:val="clear"/>
      </w:tcPr>
    </w:tblStylePr>
    <w:tblStylePr w:type="band1Horz">
      <w:tblPr/>
      <w:tcPr>
        <w:tcBorders>
          <w:insideH w:val="nil"/>
          <w:insideV w:val="nil"/>
        </w:tcBorders>
        <w:shd w:color="auto" w:fill="DFD8E8" w:themeFill="accent4" w:themeFillTint="3F" w:val="clear"/>
      </w:tcPr>
    </w:tblStylePr>
    <w:tblStylePr w:type="band2Horz">
      <w:tblPr/>
      <w:tcPr>
        <w:tcBorders>
          <w:insideH w:val="nil"/>
          <w:insideV w:val="nil"/>
        </w:tcBorders>
      </w:tcPr>
    </w:tblStylePr>
  </w:style>
  <w:style w:styleId="MediumShading1-Accent5" w:type="table">
    <w:name w:val="Medium Shading 1 Accent 5"/>
    <w:basedOn w:val="TableNormal"/>
    <w:uiPriority w:val="63"/>
    <w:rsid w:val="00CB0664"/>
    <w:pPr>
      <w:spacing w:after="0" w:line="240" w:lineRule="auto"/>
    </w:pPr>
    <w:tblPr>
      <w:tblStyleRowBandSize w:val="1"/>
      <w:tblStyleColBandSize w:val="1"/>
      <w:tblBorders>
        <w:top w:color="78C0D4" w:space="0" w:sz="8" w:themeColor="accent5" w:themeTint="BF" w:val="single"/>
        <w:left w:color="78C0D4" w:space="0" w:sz="8" w:themeColor="accent5" w:themeTint="BF" w:val="single"/>
        <w:bottom w:color="78C0D4" w:space="0" w:sz="8" w:themeColor="accent5" w:themeTint="BF" w:val="single"/>
        <w:right w:color="78C0D4" w:space="0" w:sz="8" w:themeColor="accent5" w:themeTint="BF" w:val="single"/>
        <w:insideH w:color="78C0D4" w:space="0" w:sz="8" w:themeColor="accent5" w:themeTint="BF" w:val="single"/>
      </w:tblBorders>
    </w:tblPr>
    <w:tblStylePr w:type="firstRow">
      <w:pPr>
        <w:spacing w:after="0" w:before="0" w:line="240" w:lineRule="auto"/>
      </w:pPr>
      <w:rPr>
        <w:b/>
        <w:bCs/>
        <w:color w:themeColor="background1" w:val="FFFFFF"/>
      </w:rPr>
      <w:tblPr/>
      <w:tcPr>
        <w:tcBorders>
          <w:top w:color="78C0D4" w:space="0" w:sz="8" w:themeColor="accent5" w:themeTint="BF" w:val="single"/>
          <w:left w:color="78C0D4" w:space="0" w:sz="8" w:themeColor="accent5" w:themeTint="BF" w:val="single"/>
          <w:bottom w:color="78C0D4" w:space="0" w:sz="8" w:themeColor="accent5" w:themeTint="BF" w:val="single"/>
          <w:right w:color="78C0D4" w:space="0" w:sz="8" w:themeColor="accent5" w:themeTint="BF" w:val="single"/>
          <w:insideH w:val="nil"/>
          <w:insideV w:val="nil"/>
        </w:tcBorders>
        <w:shd w:color="auto" w:fill="4BACC6" w:themeFill="accent5" w:val="clear"/>
      </w:tcPr>
    </w:tblStylePr>
    <w:tblStylePr w:type="lastRow">
      <w:pPr>
        <w:spacing w:after="0" w:before="0" w:line="240" w:lineRule="auto"/>
      </w:pPr>
      <w:rPr>
        <w:b/>
        <w:bCs/>
      </w:rPr>
      <w:tblPr/>
      <w:tcPr>
        <w:tcBorders>
          <w:top w:color="78C0D4" w:space="0" w:sz="6" w:themeColor="accent5" w:themeTint="BF" w:val="double"/>
          <w:left w:color="78C0D4" w:space="0" w:sz="8" w:themeColor="accent5" w:themeTint="BF" w:val="single"/>
          <w:bottom w:color="78C0D4" w:space="0" w:sz="8" w:themeColor="accent5" w:themeTint="BF" w:val="single"/>
          <w:right w:color="78C0D4" w:space="0" w:sz="8" w:themeColor="accent5" w:themeTint="BF" w:val="single"/>
          <w:insideH w:val="nil"/>
          <w:insideV w:val="nil"/>
        </w:tcBorders>
      </w:tcPr>
    </w:tblStylePr>
    <w:tblStylePr w:type="firstCol">
      <w:rPr>
        <w:b/>
        <w:bCs/>
      </w:rPr>
    </w:tblStylePr>
    <w:tblStylePr w:type="lastCol">
      <w:rPr>
        <w:b/>
        <w:bCs/>
      </w:rPr>
    </w:tblStylePr>
    <w:tblStylePr w:type="band1Vert">
      <w:tblPr/>
      <w:tcPr>
        <w:shd w:color="auto" w:fill="D2EAF1" w:themeFill="accent5" w:themeFillTint="3F" w:val="clear"/>
      </w:tcPr>
    </w:tblStylePr>
    <w:tblStylePr w:type="band1Horz">
      <w:tblPr/>
      <w:tcPr>
        <w:tcBorders>
          <w:insideH w:val="nil"/>
          <w:insideV w:val="nil"/>
        </w:tcBorders>
        <w:shd w:color="auto" w:fill="D2EAF1" w:themeFill="accent5" w:themeFillTint="3F" w:val="clear"/>
      </w:tcPr>
    </w:tblStylePr>
    <w:tblStylePr w:type="band2Horz">
      <w:tblPr/>
      <w:tcPr>
        <w:tcBorders>
          <w:insideH w:val="nil"/>
          <w:insideV w:val="nil"/>
        </w:tcBorders>
      </w:tcPr>
    </w:tblStylePr>
  </w:style>
  <w:style w:styleId="MediumShading1-Accent6" w:type="table">
    <w:name w:val="Medium Shading 1 Accent 6"/>
    <w:basedOn w:val="TableNormal"/>
    <w:uiPriority w:val="63"/>
    <w:rsid w:val="00CB0664"/>
    <w:pPr>
      <w:spacing w:after="0" w:line="240" w:lineRule="auto"/>
    </w:pPr>
    <w:tblPr>
      <w:tblStyleRowBandSize w:val="1"/>
      <w:tblStyleColBandSize w:val="1"/>
      <w:tblBorders>
        <w:top w:color="F9B074" w:space="0" w:sz="8" w:themeColor="accent6" w:themeTint="BF" w:val="single"/>
        <w:left w:color="F9B074" w:space="0" w:sz="8" w:themeColor="accent6" w:themeTint="BF" w:val="single"/>
        <w:bottom w:color="F9B074" w:space="0" w:sz="8" w:themeColor="accent6" w:themeTint="BF" w:val="single"/>
        <w:right w:color="F9B074" w:space="0" w:sz="8" w:themeColor="accent6" w:themeTint="BF" w:val="single"/>
        <w:insideH w:color="F9B074" w:space="0" w:sz="8" w:themeColor="accent6" w:themeTint="BF" w:val="single"/>
      </w:tblBorders>
    </w:tblPr>
    <w:tblStylePr w:type="firstRow">
      <w:pPr>
        <w:spacing w:after="0" w:before="0" w:line="240" w:lineRule="auto"/>
      </w:pPr>
      <w:rPr>
        <w:b/>
        <w:bCs/>
        <w:color w:themeColor="background1" w:val="FFFFFF"/>
      </w:rPr>
      <w:tblPr/>
      <w:tcPr>
        <w:tcBorders>
          <w:top w:color="F9B074" w:space="0" w:sz="8" w:themeColor="accent6" w:themeTint="BF" w:val="single"/>
          <w:left w:color="F9B074" w:space="0" w:sz="8" w:themeColor="accent6" w:themeTint="BF" w:val="single"/>
          <w:bottom w:color="F9B074" w:space="0" w:sz="8" w:themeColor="accent6" w:themeTint="BF" w:val="single"/>
          <w:right w:color="F9B074" w:space="0" w:sz="8" w:themeColor="accent6" w:themeTint="BF" w:val="single"/>
          <w:insideH w:val="nil"/>
          <w:insideV w:val="nil"/>
        </w:tcBorders>
        <w:shd w:color="auto" w:fill="F79646" w:themeFill="accent6" w:val="clear"/>
      </w:tcPr>
    </w:tblStylePr>
    <w:tblStylePr w:type="lastRow">
      <w:pPr>
        <w:spacing w:after="0" w:before="0" w:line="240" w:lineRule="auto"/>
      </w:pPr>
      <w:rPr>
        <w:b/>
        <w:bCs/>
      </w:rPr>
      <w:tblPr/>
      <w:tcPr>
        <w:tcBorders>
          <w:top w:color="F9B074" w:space="0" w:sz="6" w:themeColor="accent6" w:themeTint="BF" w:val="double"/>
          <w:left w:color="F9B074" w:space="0" w:sz="8" w:themeColor="accent6" w:themeTint="BF" w:val="single"/>
          <w:bottom w:color="F9B074" w:space="0" w:sz="8" w:themeColor="accent6" w:themeTint="BF" w:val="single"/>
          <w:right w:color="F9B074" w:space="0" w:sz="8" w:themeColor="accent6" w:themeTint="BF" w:val="single"/>
          <w:insideH w:val="nil"/>
          <w:insideV w:val="nil"/>
        </w:tcBorders>
      </w:tcPr>
    </w:tblStylePr>
    <w:tblStylePr w:type="firstCol">
      <w:rPr>
        <w:b/>
        <w:bCs/>
      </w:rPr>
    </w:tblStylePr>
    <w:tblStylePr w:type="lastCol">
      <w:rPr>
        <w:b/>
        <w:bCs/>
      </w:rPr>
    </w:tblStylePr>
    <w:tblStylePr w:type="band1Vert">
      <w:tblPr/>
      <w:tcPr>
        <w:shd w:color="auto" w:fill="FDE4D0" w:themeFill="accent6" w:themeFillTint="3F" w:val="clear"/>
      </w:tcPr>
    </w:tblStylePr>
    <w:tblStylePr w:type="band1Horz">
      <w:tblPr/>
      <w:tcPr>
        <w:tcBorders>
          <w:insideH w:val="nil"/>
          <w:insideV w:val="nil"/>
        </w:tcBorders>
        <w:shd w:color="auto" w:fill="FDE4D0" w:themeFill="accent6" w:themeFillTint="3F" w:val="clear"/>
      </w:tcPr>
    </w:tblStylePr>
    <w:tblStylePr w:type="band2Horz">
      <w:tblPr/>
      <w:tcPr>
        <w:tcBorders>
          <w:insideH w:val="nil"/>
          <w:insideV w:val="nil"/>
        </w:tcBorders>
      </w:tcPr>
    </w:tblStylePr>
  </w:style>
  <w:style w:styleId="MediumShading2" w:type="table">
    <w:name w:val="Medium Shading 2"/>
    <w:basedOn w:val="TableNormal"/>
    <w:uiPriority w:val="64"/>
    <w:rsid w:val="00CB0664"/>
    <w:pPr>
      <w:spacing w:after="0" w:line="240" w:lineRule="auto"/>
    </w:pPr>
    <w:tblPr>
      <w:tblStyleRowBandSize w:val="1"/>
      <w:tblStyleColBandSize w:val="1"/>
      <w:tblBorders>
        <w:top w:color="auto" w:space="0" w:sz="18" w:val="single"/>
        <w:bottom w:color="auto" w:space="0" w:sz="18" w:val="single"/>
      </w:tblBorders>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000000" w:themeFill="text1"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000000" w:themeFill="text1" w:val="clear"/>
      </w:tcPr>
    </w:tblStylePr>
    <w:tblStylePr w:type="lastCol">
      <w:rPr>
        <w:b/>
        <w:bCs/>
        <w:color w:themeColor="background1" w:val="FFFFFF"/>
      </w:rPr>
      <w:tblPr/>
      <w:tcPr>
        <w:tcBorders>
          <w:left w:val="nil"/>
          <w:right w:val="nil"/>
          <w:insideH w:val="nil"/>
          <w:insideV w:val="nil"/>
        </w:tcBorders>
        <w:shd w:color="auto" w:fill="000000" w:themeFill="text1"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Shading2-Accent1" w:type="table">
    <w:name w:val="Medium Shading 2 Accent 1"/>
    <w:basedOn w:val="TableNormal"/>
    <w:uiPriority w:val="64"/>
    <w:rsid w:val="00CB0664"/>
    <w:pPr>
      <w:spacing w:after="0" w:line="240" w:lineRule="auto"/>
    </w:pPr>
    <w:tblPr>
      <w:tblStyleRowBandSize w:val="1"/>
      <w:tblStyleColBandSize w:val="1"/>
      <w:tblBorders>
        <w:top w:color="auto" w:space="0" w:sz="18" w:val="single"/>
        <w:bottom w:color="auto" w:space="0" w:sz="18" w:val="single"/>
      </w:tblBorders>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4F81BD" w:themeFill="accent1"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4F81BD" w:themeFill="accent1" w:val="clear"/>
      </w:tcPr>
    </w:tblStylePr>
    <w:tblStylePr w:type="lastCol">
      <w:rPr>
        <w:b/>
        <w:bCs/>
        <w:color w:themeColor="background1" w:val="FFFFFF"/>
      </w:rPr>
      <w:tblPr/>
      <w:tcPr>
        <w:tcBorders>
          <w:left w:val="nil"/>
          <w:right w:val="nil"/>
          <w:insideH w:val="nil"/>
          <w:insideV w:val="nil"/>
        </w:tcBorders>
        <w:shd w:color="auto" w:fill="4F81BD" w:themeFill="accent1"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Shading2-Accent2" w:type="table">
    <w:name w:val="Medium Shading 2 Accent 2"/>
    <w:basedOn w:val="TableNormal"/>
    <w:uiPriority w:val="64"/>
    <w:rsid w:val="00CB0664"/>
    <w:pPr>
      <w:spacing w:after="0" w:line="240" w:lineRule="auto"/>
    </w:pPr>
    <w:tblPr>
      <w:tblStyleRowBandSize w:val="1"/>
      <w:tblStyleColBandSize w:val="1"/>
      <w:tblBorders>
        <w:top w:color="auto" w:space="0" w:sz="18" w:val="single"/>
        <w:bottom w:color="auto" w:space="0" w:sz="18" w:val="single"/>
      </w:tblBorders>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C0504D" w:themeFill="accent2"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C0504D" w:themeFill="accent2" w:val="clear"/>
      </w:tcPr>
    </w:tblStylePr>
    <w:tblStylePr w:type="lastCol">
      <w:rPr>
        <w:b/>
        <w:bCs/>
        <w:color w:themeColor="background1" w:val="FFFFFF"/>
      </w:rPr>
      <w:tblPr/>
      <w:tcPr>
        <w:tcBorders>
          <w:left w:val="nil"/>
          <w:right w:val="nil"/>
          <w:insideH w:val="nil"/>
          <w:insideV w:val="nil"/>
        </w:tcBorders>
        <w:shd w:color="auto" w:fill="C0504D" w:themeFill="accent2"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Shading2-Accent3" w:type="table">
    <w:name w:val="Medium Shading 2 Accent 3"/>
    <w:basedOn w:val="TableNormal"/>
    <w:uiPriority w:val="64"/>
    <w:rsid w:val="00CB0664"/>
    <w:pPr>
      <w:spacing w:after="0" w:line="240" w:lineRule="auto"/>
    </w:pPr>
    <w:tblPr>
      <w:tblStyleRowBandSize w:val="1"/>
      <w:tblStyleColBandSize w:val="1"/>
      <w:tblBorders>
        <w:top w:color="auto" w:space="0" w:sz="18" w:val="single"/>
        <w:bottom w:color="auto" w:space="0" w:sz="18" w:val="single"/>
      </w:tblBorders>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9BBB59" w:themeFill="accent3"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9BBB59" w:themeFill="accent3" w:val="clear"/>
      </w:tcPr>
    </w:tblStylePr>
    <w:tblStylePr w:type="lastCol">
      <w:rPr>
        <w:b/>
        <w:bCs/>
        <w:color w:themeColor="background1" w:val="FFFFFF"/>
      </w:rPr>
      <w:tblPr/>
      <w:tcPr>
        <w:tcBorders>
          <w:left w:val="nil"/>
          <w:right w:val="nil"/>
          <w:insideH w:val="nil"/>
          <w:insideV w:val="nil"/>
        </w:tcBorders>
        <w:shd w:color="auto" w:fill="9BBB59" w:themeFill="accent3"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Shading2-Accent4" w:type="table">
    <w:name w:val="Medium Shading 2 Accent 4"/>
    <w:basedOn w:val="TableNormal"/>
    <w:uiPriority w:val="64"/>
    <w:rsid w:val="00CB0664"/>
    <w:pPr>
      <w:spacing w:after="0" w:line="240" w:lineRule="auto"/>
    </w:pPr>
    <w:tblPr>
      <w:tblStyleRowBandSize w:val="1"/>
      <w:tblStyleColBandSize w:val="1"/>
      <w:tblBorders>
        <w:top w:color="auto" w:space="0" w:sz="18" w:val="single"/>
        <w:bottom w:color="auto" w:space="0" w:sz="18" w:val="single"/>
      </w:tblBorders>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8064A2" w:themeFill="accent4"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8064A2" w:themeFill="accent4" w:val="clear"/>
      </w:tcPr>
    </w:tblStylePr>
    <w:tblStylePr w:type="lastCol">
      <w:rPr>
        <w:b/>
        <w:bCs/>
        <w:color w:themeColor="background1" w:val="FFFFFF"/>
      </w:rPr>
      <w:tblPr/>
      <w:tcPr>
        <w:tcBorders>
          <w:left w:val="nil"/>
          <w:right w:val="nil"/>
          <w:insideH w:val="nil"/>
          <w:insideV w:val="nil"/>
        </w:tcBorders>
        <w:shd w:color="auto" w:fill="8064A2" w:themeFill="accent4"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Shading2-Accent5" w:type="table">
    <w:name w:val="Medium Shading 2 Accent 5"/>
    <w:basedOn w:val="TableNormal"/>
    <w:uiPriority w:val="64"/>
    <w:rsid w:val="00CB0664"/>
    <w:pPr>
      <w:spacing w:after="0" w:line="240" w:lineRule="auto"/>
    </w:pPr>
    <w:tblPr>
      <w:tblStyleRowBandSize w:val="1"/>
      <w:tblStyleColBandSize w:val="1"/>
      <w:tblBorders>
        <w:top w:color="auto" w:space="0" w:sz="18" w:val="single"/>
        <w:bottom w:color="auto" w:space="0" w:sz="18" w:val="single"/>
      </w:tblBorders>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4BACC6" w:themeFill="accent5"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4BACC6" w:themeFill="accent5" w:val="clear"/>
      </w:tcPr>
    </w:tblStylePr>
    <w:tblStylePr w:type="lastCol">
      <w:rPr>
        <w:b/>
        <w:bCs/>
        <w:color w:themeColor="background1" w:val="FFFFFF"/>
      </w:rPr>
      <w:tblPr/>
      <w:tcPr>
        <w:tcBorders>
          <w:left w:val="nil"/>
          <w:right w:val="nil"/>
          <w:insideH w:val="nil"/>
          <w:insideV w:val="nil"/>
        </w:tcBorders>
        <w:shd w:color="auto" w:fill="4BACC6" w:themeFill="accent5"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Shading2-Accent6" w:type="table">
    <w:name w:val="Medium Shading 2 Accent 6"/>
    <w:basedOn w:val="TableNormal"/>
    <w:uiPriority w:val="64"/>
    <w:rsid w:val="00CB0664"/>
    <w:pPr>
      <w:spacing w:after="0" w:line="240" w:lineRule="auto"/>
    </w:pPr>
    <w:tblPr>
      <w:tblStyleRowBandSize w:val="1"/>
      <w:tblStyleColBandSize w:val="1"/>
      <w:tblBorders>
        <w:top w:color="auto" w:space="0" w:sz="18" w:val="single"/>
        <w:bottom w:color="auto" w:space="0" w:sz="18" w:val="single"/>
      </w:tblBorders>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F79646" w:themeFill="accent6"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F79646" w:themeFill="accent6" w:val="clear"/>
      </w:tcPr>
    </w:tblStylePr>
    <w:tblStylePr w:type="lastCol">
      <w:rPr>
        <w:b/>
        <w:bCs/>
        <w:color w:themeColor="background1" w:val="FFFFFF"/>
      </w:rPr>
      <w:tblPr/>
      <w:tcPr>
        <w:tcBorders>
          <w:left w:val="nil"/>
          <w:right w:val="nil"/>
          <w:insideH w:val="nil"/>
          <w:insideV w:val="nil"/>
        </w:tcBorders>
        <w:shd w:color="auto" w:fill="F79646" w:themeFill="accent6"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List1" w:type="table">
    <w:name w:val="Medium List 1"/>
    <w:basedOn w:val="TableNormal"/>
    <w:uiPriority w:val="65"/>
    <w:rsid w:val="00CB0664"/>
    <w:pPr>
      <w:spacing w:after="0" w:line="240" w:lineRule="auto"/>
    </w:pPr>
    <w:rPr>
      <w:color w:themeColor="text1" w:val="000000"/>
    </w:rPr>
    <w:tblPr>
      <w:tblStyleRowBandSize w:val="1"/>
      <w:tblStyleColBandSize w:val="1"/>
      <w:tblBorders>
        <w:top w:color="000000" w:space="0" w:sz="8" w:themeColor="text1" w:val="single"/>
        <w:bottom w:color="000000" w:space="0" w:sz="8" w:themeColor="text1" w:val="single"/>
      </w:tblBorders>
    </w:tblPr>
    <w:tblStylePr w:type="firstRow">
      <w:rPr>
        <w:rFonts w:asciiTheme="majorHAnsi" w:cstheme="majorBidi" w:eastAsiaTheme="majorEastAsia" w:hAnsiTheme="majorHAnsi"/>
      </w:rPr>
      <w:tblPr/>
      <w:tcPr>
        <w:tcBorders>
          <w:top w:val="nil"/>
          <w:bottom w:color="000000" w:space="0" w:sz="8" w:themeColor="text1" w:val="single"/>
        </w:tcBorders>
      </w:tcPr>
    </w:tblStylePr>
    <w:tblStylePr w:type="lastRow">
      <w:rPr>
        <w:b/>
        <w:bCs/>
        <w:color w:themeColor="text2" w:val="1F497D"/>
      </w:rPr>
      <w:tblPr/>
      <w:tcPr>
        <w:tcBorders>
          <w:top w:color="000000" w:space="0" w:sz="8" w:themeColor="text1" w:val="single"/>
          <w:bottom w:color="000000" w:space="0" w:sz="8" w:themeColor="text1" w:val="single"/>
        </w:tcBorders>
      </w:tcPr>
    </w:tblStylePr>
    <w:tblStylePr w:type="firstCol">
      <w:rPr>
        <w:b/>
        <w:bCs/>
      </w:rPr>
    </w:tblStylePr>
    <w:tblStylePr w:type="lastCol">
      <w:rPr>
        <w:b/>
        <w:bCs/>
      </w:rPr>
      <w:tblPr/>
      <w:tcPr>
        <w:tcBorders>
          <w:top w:color="000000" w:space="0" w:sz="8" w:themeColor="text1" w:val="single"/>
          <w:bottom w:color="000000" w:space="0" w:sz="8" w:themeColor="text1" w:val="single"/>
        </w:tcBorders>
      </w:tcPr>
    </w:tblStylePr>
    <w:tblStylePr w:type="band1Vert">
      <w:tblPr/>
      <w:tcPr>
        <w:shd w:color="auto" w:fill="C0C0C0" w:themeFill="text1" w:themeFillTint="3F" w:val="clear"/>
      </w:tcPr>
    </w:tblStylePr>
    <w:tblStylePr w:type="band1Horz">
      <w:tblPr/>
      <w:tcPr>
        <w:shd w:color="auto" w:fill="C0C0C0" w:themeFill="text1" w:themeFillTint="3F" w:val="clear"/>
      </w:tcPr>
    </w:tblStylePr>
  </w:style>
  <w:style w:styleId="MediumList1-Accent1" w:type="table">
    <w:name w:val="Medium List 1 Accent 1"/>
    <w:basedOn w:val="TableNormal"/>
    <w:uiPriority w:val="65"/>
    <w:rsid w:val="00CB0664"/>
    <w:pPr>
      <w:spacing w:after="0" w:line="240" w:lineRule="auto"/>
    </w:pPr>
    <w:rPr>
      <w:color w:themeColor="text1" w:val="000000"/>
    </w:rPr>
    <w:tblPr>
      <w:tblStyleRowBandSize w:val="1"/>
      <w:tblStyleColBandSize w:val="1"/>
      <w:tblBorders>
        <w:top w:color="4F81BD" w:space="0" w:sz="8" w:themeColor="accent1" w:val="single"/>
        <w:bottom w:color="4F81BD" w:space="0" w:sz="8" w:themeColor="accent1" w:val="single"/>
      </w:tblBorders>
    </w:tblPr>
    <w:tblStylePr w:type="firstRow">
      <w:rPr>
        <w:rFonts w:asciiTheme="majorHAnsi" w:cstheme="majorBidi" w:eastAsiaTheme="majorEastAsia" w:hAnsiTheme="majorHAnsi"/>
      </w:rPr>
      <w:tblPr/>
      <w:tcPr>
        <w:tcBorders>
          <w:top w:val="nil"/>
          <w:bottom w:color="4F81BD" w:space="0" w:sz="8" w:themeColor="accent1" w:val="single"/>
        </w:tcBorders>
      </w:tcPr>
    </w:tblStylePr>
    <w:tblStylePr w:type="lastRow">
      <w:rPr>
        <w:b/>
        <w:bCs/>
        <w:color w:themeColor="text2" w:val="1F497D"/>
      </w:rPr>
      <w:tblPr/>
      <w:tcPr>
        <w:tcBorders>
          <w:top w:color="4F81BD" w:space="0" w:sz="8" w:themeColor="accent1" w:val="single"/>
          <w:bottom w:color="4F81BD" w:space="0" w:sz="8" w:themeColor="accent1" w:val="single"/>
        </w:tcBorders>
      </w:tcPr>
    </w:tblStylePr>
    <w:tblStylePr w:type="firstCol">
      <w:rPr>
        <w:b/>
        <w:bCs/>
      </w:rPr>
    </w:tblStylePr>
    <w:tblStylePr w:type="lastCol">
      <w:rPr>
        <w:b/>
        <w:bCs/>
      </w:rPr>
      <w:tblPr/>
      <w:tcPr>
        <w:tcBorders>
          <w:top w:color="4F81BD" w:space="0" w:sz="8" w:themeColor="accent1" w:val="single"/>
          <w:bottom w:color="4F81BD" w:space="0" w:sz="8" w:themeColor="accent1" w:val="single"/>
        </w:tcBorders>
      </w:tcPr>
    </w:tblStylePr>
    <w:tblStylePr w:type="band1Vert">
      <w:tblPr/>
      <w:tcPr>
        <w:shd w:color="auto" w:fill="D3DFEE" w:themeFill="accent1" w:themeFillTint="3F" w:val="clear"/>
      </w:tcPr>
    </w:tblStylePr>
    <w:tblStylePr w:type="band1Horz">
      <w:tblPr/>
      <w:tcPr>
        <w:shd w:color="auto" w:fill="D3DFEE" w:themeFill="accent1" w:themeFillTint="3F" w:val="clear"/>
      </w:tcPr>
    </w:tblStylePr>
  </w:style>
  <w:style w:styleId="MediumList1-Accent2" w:type="table">
    <w:name w:val="Medium List 1 Accent 2"/>
    <w:basedOn w:val="TableNormal"/>
    <w:uiPriority w:val="65"/>
    <w:rsid w:val="00CB0664"/>
    <w:pPr>
      <w:spacing w:after="0" w:line="240" w:lineRule="auto"/>
    </w:pPr>
    <w:rPr>
      <w:color w:themeColor="text1" w:val="000000"/>
    </w:rPr>
    <w:tblPr>
      <w:tblStyleRowBandSize w:val="1"/>
      <w:tblStyleColBandSize w:val="1"/>
      <w:tblBorders>
        <w:top w:color="C0504D" w:space="0" w:sz="8" w:themeColor="accent2" w:val="single"/>
        <w:bottom w:color="C0504D" w:space="0" w:sz="8" w:themeColor="accent2" w:val="single"/>
      </w:tblBorders>
    </w:tblPr>
    <w:tblStylePr w:type="firstRow">
      <w:rPr>
        <w:rFonts w:asciiTheme="majorHAnsi" w:cstheme="majorBidi" w:eastAsiaTheme="majorEastAsia" w:hAnsiTheme="majorHAnsi"/>
      </w:rPr>
      <w:tblPr/>
      <w:tcPr>
        <w:tcBorders>
          <w:top w:val="nil"/>
          <w:bottom w:color="C0504D" w:space="0" w:sz="8" w:themeColor="accent2" w:val="single"/>
        </w:tcBorders>
      </w:tcPr>
    </w:tblStylePr>
    <w:tblStylePr w:type="lastRow">
      <w:rPr>
        <w:b/>
        <w:bCs/>
        <w:color w:themeColor="text2" w:val="1F497D"/>
      </w:rPr>
      <w:tblPr/>
      <w:tcPr>
        <w:tcBorders>
          <w:top w:color="C0504D" w:space="0" w:sz="8" w:themeColor="accent2" w:val="single"/>
          <w:bottom w:color="C0504D" w:space="0" w:sz="8" w:themeColor="accent2" w:val="single"/>
        </w:tcBorders>
      </w:tcPr>
    </w:tblStylePr>
    <w:tblStylePr w:type="firstCol">
      <w:rPr>
        <w:b/>
        <w:bCs/>
      </w:rPr>
    </w:tblStylePr>
    <w:tblStylePr w:type="lastCol">
      <w:rPr>
        <w:b/>
        <w:bCs/>
      </w:rPr>
      <w:tblPr/>
      <w:tcPr>
        <w:tcBorders>
          <w:top w:color="C0504D" w:space="0" w:sz="8" w:themeColor="accent2" w:val="single"/>
          <w:bottom w:color="C0504D" w:space="0" w:sz="8" w:themeColor="accent2" w:val="single"/>
        </w:tcBorders>
      </w:tcPr>
    </w:tblStylePr>
    <w:tblStylePr w:type="band1Vert">
      <w:tblPr/>
      <w:tcPr>
        <w:shd w:color="auto" w:fill="EFD3D2" w:themeFill="accent2" w:themeFillTint="3F" w:val="clear"/>
      </w:tcPr>
    </w:tblStylePr>
    <w:tblStylePr w:type="band1Horz">
      <w:tblPr/>
      <w:tcPr>
        <w:shd w:color="auto" w:fill="EFD3D2" w:themeFill="accent2" w:themeFillTint="3F" w:val="clear"/>
      </w:tcPr>
    </w:tblStylePr>
  </w:style>
  <w:style w:styleId="MediumList1-Accent3" w:type="table">
    <w:name w:val="Medium List 1 Accent 3"/>
    <w:basedOn w:val="TableNormal"/>
    <w:uiPriority w:val="65"/>
    <w:rsid w:val="00CB0664"/>
    <w:pPr>
      <w:spacing w:after="0" w:line="240" w:lineRule="auto"/>
    </w:pPr>
    <w:rPr>
      <w:color w:themeColor="text1" w:val="000000"/>
    </w:rPr>
    <w:tblPr>
      <w:tblStyleRowBandSize w:val="1"/>
      <w:tblStyleColBandSize w:val="1"/>
      <w:tblBorders>
        <w:top w:color="9BBB59" w:space="0" w:sz="8" w:themeColor="accent3" w:val="single"/>
        <w:bottom w:color="9BBB59" w:space="0" w:sz="8" w:themeColor="accent3" w:val="single"/>
      </w:tblBorders>
    </w:tblPr>
    <w:tblStylePr w:type="firstRow">
      <w:rPr>
        <w:rFonts w:asciiTheme="majorHAnsi" w:cstheme="majorBidi" w:eastAsiaTheme="majorEastAsia" w:hAnsiTheme="majorHAnsi"/>
      </w:rPr>
      <w:tblPr/>
      <w:tcPr>
        <w:tcBorders>
          <w:top w:val="nil"/>
          <w:bottom w:color="9BBB59" w:space="0" w:sz="8" w:themeColor="accent3" w:val="single"/>
        </w:tcBorders>
      </w:tcPr>
    </w:tblStylePr>
    <w:tblStylePr w:type="lastRow">
      <w:rPr>
        <w:b/>
        <w:bCs/>
        <w:color w:themeColor="text2" w:val="1F497D"/>
      </w:rPr>
      <w:tblPr/>
      <w:tcPr>
        <w:tcBorders>
          <w:top w:color="9BBB59" w:space="0" w:sz="8" w:themeColor="accent3" w:val="single"/>
          <w:bottom w:color="9BBB59" w:space="0" w:sz="8" w:themeColor="accent3" w:val="single"/>
        </w:tcBorders>
      </w:tcPr>
    </w:tblStylePr>
    <w:tblStylePr w:type="firstCol">
      <w:rPr>
        <w:b/>
        <w:bCs/>
      </w:rPr>
    </w:tblStylePr>
    <w:tblStylePr w:type="lastCol">
      <w:rPr>
        <w:b/>
        <w:bCs/>
      </w:rPr>
      <w:tblPr/>
      <w:tcPr>
        <w:tcBorders>
          <w:top w:color="9BBB59" w:space="0" w:sz="8" w:themeColor="accent3" w:val="single"/>
          <w:bottom w:color="9BBB59" w:space="0" w:sz="8" w:themeColor="accent3" w:val="single"/>
        </w:tcBorders>
      </w:tcPr>
    </w:tblStylePr>
    <w:tblStylePr w:type="band1Vert">
      <w:tblPr/>
      <w:tcPr>
        <w:shd w:color="auto" w:fill="E6EED5" w:themeFill="accent3" w:themeFillTint="3F" w:val="clear"/>
      </w:tcPr>
    </w:tblStylePr>
    <w:tblStylePr w:type="band1Horz">
      <w:tblPr/>
      <w:tcPr>
        <w:shd w:color="auto" w:fill="E6EED5" w:themeFill="accent3" w:themeFillTint="3F" w:val="clear"/>
      </w:tcPr>
    </w:tblStylePr>
  </w:style>
  <w:style w:styleId="MediumList1-Accent4" w:type="table">
    <w:name w:val="Medium List 1 Accent 4"/>
    <w:basedOn w:val="TableNormal"/>
    <w:uiPriority w:val="65"/>
    <w:rsid w:val="00CB0664"/>
    <w:pPr>
      <w:spacing w:after="0" w:line="240" w:lineRule="auto"/>
    </w:pPr>
    <w:rPr>
      <w:color w:themeColor="text1" w:val="000000"/>
    </w:rPr>
    <w:tblPr>
      <w:tblStyleRowBandSize w:val="1"/>
      <w:tblStyleColBandSize w:val="1"/>
      <w:tblBorders>
        <w:top w:color="8064A2" w:space="0" w:sz="8" w:themeColor="accent4" w:val="single"/>
        <w:bottom w:color="8064A2" w:space="0" w:sz="8" w:themeColor="accent4" w:val="single"/>
      </w:tblBorders>
    </w:tblPr>
    <w:tblStylePr w:type="firstRow">
      <w:rPr>
        <w:rFonts w:asciiTheme="majorHAnsi" w:cstheme="majorBidi" w:eastAsiaTheme="majorEastAsia" w:hAnsiTheme="majorHAnsi"/>
      </w:rPr>
      <w:tblPr/>
      <w:tcPr>
        <w:tcBorders>
          <w:top w:val="nil"/>
          <w:bottom w:color="8064A2" w:space="0" w:sz="8" w:themeColor="accent4" w:val="single"/>
        </w:tcBorders>
      </w:tcPr>
    </w:tblStylePr>
    <w:tblStylePr w:type="lastRow">
      <w:rPr>
        <w:b/>
        <w:bCs/>
        <w:color w:themeColor="text2" w:val="1F497D"/>
      </w:rPr>
      <w:tblPr/>
      <w:tcPr>
        <w:tcBorders>
          <w:top w:color="8064A2" w:space="0" w:sz="8" w:themeColor="accent4" w:val="single"/>
          <w:bottom w:color="8064A2" w:space="0" w:sz="8" w:themeColor="accent4" w:val="single"/>
        </w:tcBorders>
      </w:tcPr>
    </w:tblStylePr>
    <w:tblStylePr w:type="firstCol">
      <w:rPr>
        <w:b/>
        <w:bCs/>
      </w:rPr>
    </w:tblStylePr>
    <w:tblStylePr w:type="lastCol">
      <w:rPr>
        <w:b/>
        <w:bCs/>
      </w:rPr>
      <w:tblPr/>
      <w:tcPr>
        <w:tcBorders>
          <w:top w:color="8064A2" w:space="0" w:sz="8" w:themeColor="accent4" w:val="single"/>
          <w:bottom w:color="8064A2" w:space="0" w:sz="8" w:themeColor="accent4" w:val="single"/>
        </w:tcBorders>
      </w:tcPr>
    </w:tblStylePr>
    <w:tblStylePr w:type="band1Vert">
      <w:tblPr/>
      <w:tcPr>
        <w:shd w:color="auto" w:fill="DFD8E8" w:themeFill="accent4" w:themeFillTint="3F" w:val="clear"/>
      </w:tcPr>
    </w:tblStylePr>
    <w:tblStylePr w:type="band1Horz">
      <w:tblPr/>
      <w:tcPr>
        <w:shd w:color="auto" w:fill="DFD8E8" w:themeFill="accent4" w:themeFillTint="3F" w:val="clear"/>
      </w:tcPr>
    </w:tblStylePr>
  </w:style>
  <w:style w:styleId="MediumList1-Accent5" w:type="table">
    <w:name w:val="Medium List 1 Accent 5"/>
    <w:basedOn w:val="TableNormal"/>
    <w:uiPriority w:val="65"/>
    <w:rsid w:val="00CB0664"/>
    <w:pPr>
      <w:spacing w:after="0" w:line="240" w:lineRule="auto"/>
    </w:pPr>
    <w:rPr>
      <w:color w:themeColor="text1" w:val="000000"/>
    </w:rPr>
    <w:tblPr>
      <w:tblStyleRowBandSize w:val="1"/>
      <w:tblStyleColBandSize w:val="1"/>
      <w:tblBorders>
        <w:top w:color="4BACC6" w:space="0" w:sz="8" w:themeColor="accent5" w:val="single"/>
        <w:bottom w:color="4BACC6" w:space="0" w:sz="8" w:themeColor="accent5" w:val="single"/>
      </w:tblBorders>
    </w:tblPr>
    <w:tblStylePr w:type="firstRow">
      <w:rPr>
        <w:rFonts w:asciiTheme="majorHAnsi" w:cstheme="majorBidi" w:eastAsiaTheme="majorEastAsia" w:hAnsiTheme="majorHAnsi"/>
      </w:rPr>
      <w:tblPr/>
      <w:tcPr>
        <w:tcBorders>
          <w:top w:val="nil"/>
          <w:bottom w:color="4BACC6" w:space="0" w:sz="8" w:themeColor="accent5" w:val="single"/>
        </w:tcBorders>
      </w:tcPr>
    </w:tblStylePr>
    <w:tblStylePr w:type="lastRow">
      <w:rPr>
        <w:b/>
        <w:bCs/>
        <w:color w:themeColor="text2" w:val="1F497D"/>
      </w:rPr>
      <w:tblPr/>
      <w:tcPr>
        <w:tcBorders>
          <w:top w:color="4BACC6" w:space="0" w:sz="8" w:themeColor="accent5" w:val="single"/>
          <w:bottom w:color="4BACC6" w:space="0" w:sz="8" w:themeColor="accent5" w:val="single"/>
        </w:tcBorders>
      </w:tcPr>
    </w:tblStylePr>
    <w:tblStylePr w:type="firstCol">
      <w:rPr>
        <w:b/>
        <w:bCs/>
      </w:rPr>
    </w:tblStylePr>
    <w:tblStylePr w:type="lastCol">
      <w:rPr>
        <w:b/>
        <w:bCs/>
      </w:rPr>
      <w:tblPr/>
      <w:tcPr>
        <w:tcBorders>
          <w:top w:color="4BACC6" w:space="0" w:sz="8" w:themeColor="accent5" w:val="single"/>
          <w:bottom w:color="4BACC6" w:space="0" w:sz="8" w:themeColor="accent5" w:val="single"/>
        </w:tcBorders>
      </w:tcPr>
    </w:tblStylePr>
    <w:tblStylePr w:type="band1Vert">
      <w:tblPr/>
      <w:tcPr>
        <w:shd w:color="auto" w:fill="D2EAF1" w:themeFill="accent5" w:themeFillTint="3F" w:val="clear"/>
      </w:tcPr>
    </w:tblStylePr>
    <w:tblStylePr w:type="band1Horz">
      <w:tblPr/>
      <w:tcPr>
        <w:shd w:color="auto" w:fill="D2EAF1" w:themeFill="accent5" w:themeFillTint="3F" w:val="clear"/>
      </w:tcPr>
    </w:tblStylePr>
  </w:style>
  <w:style w:styleId="MediumList1-Accent6" w:type="table">
    <w:name w:val="Medium List 1 Accent 6"/>
    <w:basedOn w:val="TableNormal"/>
    <w:uiPriority w:val="65"/>
    <w:rsid w:val="00CB0664"/>
    <w:pPr>
      <w:spacing w:after="0" w:line="240" w:lineRule="auto"/>
    </w:pPr>
    <w:rPr>
      <w:color w:themeColor="text1" w:val="000000"/>
    </w:rPr>
    <w:tblPr>
      <w:tblStyleRowBandSize w:val="1"/>
      <w:tblStyleColBandSize w:val="1"/>
      <w:tblBorders>
        <w:top w:color="F79646" w:space="0" w:sz="8" w:themeColor="accent6" w:val="single"/>
        <w:bottom w:color="F79646" w:space="0" w:sz="8" w:themeColor="accent6" w:val="single"/>
      </w:tblBorders>
    </w:tblPr>
    <w:tblStylePr w:type="firstRow">
      <w:rPr>
        <w:rFonts w:asciiTheme="majorHAnsi" w:cstheme="majorBidi" w:eastAsiaTheme="majorEastAsia" w:hAnsiTheme="majorHAnsi"/>
      </w:rPr>
      <w:tblPr/>
      <w:tcPr>
        <w:tcBorders>
          <w:top w:val="nil"/>
          <w:bottom w:color="F79646" w:space="0" w:sz="8" w:themeColor="accent6" w:val="single"/>
        </w:tcBorders>
      </w:tcPr>
    </w:tblStylePr>
    <w:tblStylePr w:type="lastRow">
      <w:rPr>
        <w:b/>
        <w:bCs/>
        <w:color w:themeColor="text2" w:val="1F497D"/>
      </w:rPr>
      <w:tblPr/>
      <w:tcPr>
        <w:tcBorders>
          <w:top w:color="F79646" w:space="0" w:sz="8" w:themeColor="accent6" w:val="single"/>
          <w:bottom w:color="F79646" w:space="0" w:sz="8" w:themeColor="accent6" w:val="single"/>
        </w:tcBorders>
      </w:tcPr>
    </w:tblStylePr>
    <w:tblStylePr w:type="firstCol">
      <w:rPr>
        <w:b/>
        <w:bCs/>
      </w:rPr>
    </w:tblStylePr>
    <w:tblStylePr w:type="lastCol">
      <w:rPr>
        <w:b/>
        <w:bCs/>
      </w:rPr>
      <w:tblPr/>
      <w:tcPr>
        <w:tcBorders>
          <w:top w:color="F79646" w:space="0" w:sz="8" w:themeColor="accent6" w:val="single"/>
          <w:bottom w:color="F79646" w:space="0" w:sz="8" w:themeColor="accent6" w:val="single"/>
        </w:tcBorders>
      </w:tcPr>
    </w:tblStylePr>
    <w:tblStylePr w:type="band1Vert">
      <w:tblPr/>
      <w:tcPr>
        <w:shd w:color="auto" w:fill="FDE4D0" w:themeFill="accent6" w:themeFillTint="3F" w:val="clear"/>
      </w:tcPr>
    </w:tblStylePr>
    <w:tblStylePr w:type="band1Horz">
      <w:tblPr/>
      <w:tcPr>
        <w:shd w:color="auto" w:fill="FDE4D0" w:themeFill="accent6" w:themeFillTint="3F" w:val="clear"/>
      </w:tcPr>
    </w:tblStylePr>
  </w:style>
  <w:style w:styleId="MediumList2" w:type="table">
    <w:name w:val="Medium List 2"/>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Borders>
        <w:top w:color="000000" w:space="0" w:sz="8" w:themeColor="text1" w:val="single"/>
        <w:left w:color="000000" w:space="0" w:sz="8" w:themeColor="text1" w:val="single"/>
        <w:bottom w:color="000000" w:space="0" w:sz="8" w:themeColor="text1" w:val="single"/>
        <w:right w:color="000000" w:space="0" w:sz="8" w:themeColor="text1" w:val="single"/>
      </w:tblBorders>
    </w:tblPr>
    <w:tblStylePr w:type="firstRow">
      <w:rPr>
        <w:sz w:val="24"/>
        <w:szCs w:val="24"/>
      </w:rPr>
      <w:tblPr/>
      <w:tcPr>
        <w:tcBorders>
          <w:top w:val="nil"/>
          <w:left w:val="nil"/>
          <w:bottom w:color="000000" w:space="0" w:sz="24" w:themeColor="text1" w:val="single"/>
          <w:right w:val="nil"/>
          <w:insideH w:val="nil"/>
          <w:insideV w:val="nil"/>
        </w:tcBorders>
        <w:shd w:color="auto" w:fill="FFFFFF" w:themeFill="background1" w:val="clear"/>
      </w:tcPr>
    </w:tblStylePr>
    <w:tblStylePr w:type="lastRow">
      <w:tblPr/>
      <w:tcPr>
        <w:tcBorders>
          <w:top w:color="000000" w:space="0" w:sz="8" w:themeColor="text1"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000000" w:space="0" w:sz="8" w:themeColor="text1" w:val="single"/>
          <w:insideH w:val="nil"/>
          <w:insideV w:val="nil"/>
        </w:tcBorders>
        <w:shd w:color="auto" w:fill="FFFFFF" w:themeFill="background1" w:val="clear"/>
      </w:tcPr>
    </w:tblStylePr>
    <w:tblStylePr w:type="lastCol">
      <w:tblPr/>
      <w:tcPr>
        <w:tcBorders>
          <w:top w:val="nil"/>
          <w:left w:color="000000" w:space="0" w:sz="8" w:themeColor="text1"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C0C0C0" w:themeFill="text1" w:themeFillTint="3F" w:val="clear"/>
      </w:tcPr>
    </w:tblStylePr>
    <w:tblStylePr w:type="band1Horz">
      <w:tblPr/>
      <w:tcPr>
        <w:tcBorders>
          <w:top w:val="nil"/>
          <w:bottom w:val="nil"/>
          <w:insideH w:val="nil"/>
          <w:insideV w:val="nil"/>
        </w:tcBorders>
        <w:shd w:color="auto" w:fill="C0C0C0" w:themeFill="text1" w:themeFillTint="3F" w:val="clear"/>
      </w:tcPr>
    </w:tblStylePr>
    <w:tblStylePr w:type="nwCell">
      <w:tblPr/>
      <w:tcPr>
        <w:shd w:color="auto" w:fill="FFFFFF" w:themeFill="background1" w:val="clear"/>
      </w:tcPr>
    </w:tblStylePr>
    <w:tblStylePr w:type="swCell">
      <w:tblPr/>
      <w:tcPr>
        <w:tcBorders>
          <w:top w:val="nil"/>
        </w:tcBorders>
      </w:tcPr>
    </w:tblStylePr>
  </w:style>
  <w:style w:styleId="MediumList2-Accent1" w:type="table">
    <w:name w:val="Medium List 2 Accent 1"/>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Borders>
        <w:top w:color="4F81BD" w:space="0" w:sz="8" w:themeColor="accent1" w:val="single"/>
        <w:left w:color="4F81BD" w:space="0" w:sz="8" w:themeColor="accent1" w:val="single"/>
        <w:bottom w:color="4F81BD" w:space="0" w:sz="8" w:themeColor="accent1" w:val="single"/>
        <w:right w:color="4F81BD" w:space="0" w:sz="8" w:themeColor="accent1" w:val="single"/>
      </w:tblBorders>
    </w:tblPr>
    <w:tblStylePr w:type="firstRow">
      <w:rPr>
        <w:sz w:val="24"/>
        <w:szCs w:val="24"/>
      </w:rPr>
      <w:tblPr/>
      <w:tcPr>
        <w:tcBorders>
          <w:top w:val="nil"/>
          <w:left w:val="nil"/>
          <w:bottom w:color="4F81BD" w:space="0" w:sz="24" w:themeColor="accent1" w:val="single"/>
          <w:right w:val="nil"/>
          <w:insideH w:val="nil"/>
          <w:insideV w:val="nil"/>
        </w:tcBorders>
        <w:shd w:color="auto" w:fill="FFFFFF" w:themeFill="background1" w:val="clear"/>
      </w:tcPr>
    </w:tblStylePr>
    <w:tblStylePr w:type="lastRow">
      <w:tblPr/>
      <w:tcPr>
        <w:tcBorders>
          <w:top w:color="4F81BD" w:space="0" w:sz="8" w:themeColor="accent1"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4F81BD" w:space="0" w:sz="8" w:themeColor="accent1" w:val="single"/>
          <w:insideH w:val="nil"/>
          <w:insideV w:val="nil"/>
        </w:tcBorders>
        <w:shd w:color="auto" w:fill="FFFFFF" w:themeFill="background1" w:val="clear"/>
      </w:tcPr>
    </w:tblStylePr>
    <w:tblStylePr w:type="lastCol">
      <w:tblPr/>
      <w:tcPr>
        <w:tcBorders>
          <w:top w:val="nil"/>
          <w:left w:color="4F81BD" w:space="0" w:sz="8" w:themeColor="accent1"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D3DFEE" w:themeFill="accent1" w:themeFillTint="3F" w:val="clear"/>
      </w:tcPr>
    </w:tblStylePr>
    <w:tblStylePr w:type="band1Horz">
      <w:tblPr/>
      <w:tcPr>
        <w:tcBorders>
          <w:top w:val="nil"/>
          <w:bottom w:val="nil"/>
          <w:insideH w:val="nil"/>
          <w:insideV w:val="nil"/>
        </w:tcBorders>
        <w:shd w:color="auto" w:fill="D3DFEE" w:themeFill="accent1" w:themeFillTint="3F" w:val="clear"/>
      </w:tcPr>
    </w:tblStylePr>
    <w:tblStylePr w:type="nwCell">
      <w:tblPr/>
      <w:tcPr>
        <w:shd w:color="auto" w:fill="FFFFFF" w:themeFill="background1" w:val="clear"/>
      </w:tcPr>
    </w:tblStylePr>
    <w:tblStylePr w:type="swCell">
      <w:tblPr/>
      <w:tcPr>
        <w:tcBorders>
          <w:top w:val="nil"/>
        </w:tcBorders>
      </w:tcPr>
    </w:tblStylePr>
  </w:style>
  <w:style w:styleId="MediumList2-Accent2" w:type="table">
    <w:name w:val="Medium List 2 Accent 2"/>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Borders>
        <w:top w:color="C0504D" w:space="0" w:sz="8" w:themeColor="accent2" w:val="single"/>
        <w:left w:color="C0504D" w:space="0" w:sz="8" w:themeColor="accent2" w:val="single"/>
        <w:bottom w:color="C0504D" w:space="0" w:sz="8" w:themeColor="accent2" w:val="single"/>
        <w:right w:color="C0504D" w:space="0" w:sz="8" w:themeColor="accent2" w:val="single"/>
      </w:tblBorders>
    </w:tblPr>
    <w:tblStylePr w:type="firstRow">
      <w:rPr>
        <w:sz w:val="24"/>
        <w:szCs w:val="24"/>
      </w:rPr>
      <w:tblPr/>
      <w:tcPr>
        <w:tcBorders>
          <w:top w:val="nil"/>
          <w:left w:val="nil"/>
          <w:bottom w:color="C0504D" w:space="0" w:sz="24" w:themeColor="accent2" w:val="single"/>
          <w:right w:val="nil"/>
          <w:insideH w:val="nil"/>
          <w:insideV w:val="nil"/>
        </w:tcBorders>
        <w:shd w:color="auto" w:fill="FFFFFF" w:themeFill="background1" w:val="clear"/>
      </w:tcPr>
    </w:tblStylePr>
    <w:tblStylePr w:type="lastRow">
      <w:tblPr/>
      <w:tcPr>
        <w:tcBorders>
          <w:top w:color="C0504D" w:space="0" w:sz="8" w:themeColor="accent2"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C0504D" w:space="0" w:sz="8" w:themeColor="accent2" w:val="single"/>
          <w:insideH w:val="nil"/>
          <w:insideV w:val="nil"/>
        </w:tcBorders>
        <w:shd w:color="auto" w:fill="FFFFFF" w:themeFill="background1" w:val="clear"/>
      </w:tcPr>
    </w:tblStylePr>
    <w:tblStylePr w:type="lastCol">
      <w:tblPr/>
      <w:tcPr>
        <w:tcBorders>
          <w:top w:val="nil"/>
          <w:left w:color="C0504D" w:space="0" w:sz="8" w:themeColor="accent2"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EFD3D2" w:themeFill="accent2" w:themeFillTint="3F" w:val="clear"/>
      </w:tcPr>
    </w:tblStylePr>
    <w:tblStylePr w:type="band1Horz">
      <w:tblPr/>
      <w:tcPr>
        <w:tcBorders>
          <w:top w:val="nil"/>
          <w:bottom w:val="nil"/>
          <w:insideH w:val="nil"/>
          <w:insideV w:val="nil"/>
        </w:tcBorders>
        <w:shd w:color="auto" w:fill="EFD3D2" w:themeFill="accent2" w:themeFillTint="3F" w:val="clear"/>
      </w:tcPr>
    </w:tblStylePr>
    <w:tblStylePr w:type="nwCell">
      <w:tblPr/>
      <w:tcPr>
        <w:shd w:color="auto" w:fill="FFFFFF" w:themeFill="background1" w:val="clear"/>
      </w:tcPr>
    </w:tblStylePr>
    <w:tblStylePr w:type="swCell">
      <w:tblPr/>
      <w:tcPr>
        <w:tcBorders>
          <w:top w:val="nil"/>
        </w:tcBorders>
      </w:tcPr>
    </w:tblStylePr>
  </w:style>
  <w:style w:styleId="MediumList2-Accent3" w:type="table">
    <w:name w:val="Medium List 2 Accent 3"/>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Borders>
        <w:top w:color="9BBB59" w:space="0" w:sz="8" w:themeColor="accent3" w:val="single"/>
        <w:left w:color="9BBB59" w:space="0" w:sz="8" w:themeColor="accent3" w:val="single"/>
        <w:bottom w:color="9BBB59" w:space="0" w:sz="8" w:themeColor="accent3" w:val="single"/>
        <w:right w:color="9BBB59" w:space="0" w:sz="8" w:themeColor="accent3" w:val="single"/>
      </w:tblBorders>
    </w:tblPr>
    <w:tblStylePr w:type="firstRow">
      <w:rPr>
        <w:sz w:val="24"/>
        <w:szCs w:val="24"/>
      </w:rPr>
      <w:tblPr/>
      <w:tcPr>
        <w:tcBorders>
          <w:top w:val="nil"/>
          <w:left w:val="nil"/>
          <w:bottom w:color="9BBB59" w:space="0" w:sz="24" w:themeColor="accent3" w:val="single"/>
          <w:right w:val="nil"/>
          <w:insideH w:val="nil"/>
          <w:insideV w:val="nil"/>
        </w:tcBorders>
        <w:shd w:color="auto" w:fill="FFFFFF" w:themeFill="background1" w:val="clear"/>
      </w:tcPr>
    </w:tblStylePr>
    <w:tblStylePr w:type="lastRow">
      <w:tblPr/>
      <w:tcPr>
        <w:tcBorders>
          <w:top w:color="9BBB59" w:space="0" w:sz="8" w:themeColor="accent3"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9BBB59" w:space="0" w:sz="8" w:themeColor="accent3" w:val="single"/>
          <w:insideH w:val="nil"/>
          <w:insideV w:val="nil"/>
        </w:tcBorders>
        <w:shd w:color="auto" w:fill="FFFFFF" w:themeFill="background1" w:val="clear"/>
      </w:tcPr>
    </w:tblStylePr>
    <w:tblStylePr w:type="lastCol">
      <w:tblPr/>
      <w:tcPr>
        <w:tcBorders>
          <w:top w:val="nil"/>
          <w:left w:color="9BBB59" w:space="0" w:sz="8" w:themeColor="accent3"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E6EED5" w:themeFill="accent3" w:themeFillTint="3F" w:val="clear"/>
      </w:tcPr>
    </w:tblStylePr>
    <w:tblStylePr w:type="band1Horz">
      <w:tblPr/>
      <w:tcPr>
        <w:tcBorders>
          <w:top w:val="nil"/>
          <w:bottom w:val="nil"/>
          <w:insideH w:val="nil"/>
          <w:insideV w:val="nil"/>
        </w:tcBorders>
        <w:shd w:color="auto" w:fill="E6EED5" w:themeFill="accent3" w:themeFillTint="3F" w:val="clear"/>
      </w:tcPr>
    </w:tblStylePr>
    <w:tblStylePr w:type="nwCell">
      <w:tblPr/>
      <w:tcPr>
        <w:shd w:color="auto" w:fill="FFFFFF" w:themeFill="background1" w:val="clear"/>
      </w:tcPr>
    </w:tblStylePr>
    <w:tblStylePr w:type="swCell">
      <w:tblPr/>
      <w:tcPr>
        <w:tcBorders>
          <w:top w:val="nil"/>
        </w:tcBorders>
      </w:tcPr>
    </w:tblStylePr>
  </w:style>
  <w:style w:styleId="MediumList2-Accent4" w:type="table">
    <w:name w:val="Medium List 2 Accent 4"/>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Borders>
        <w:top w:color="8064A2" w:space="0" w:sz="8" w:themeColor="accent4" w:val="single"/>
        <w:left w:color="8064A2" w:space="0" w:sz="8" w:themeColor="accent4" w:val="single"/>
        <w:bottom w:color="8064A2" w:space="0" w:sz="8" w:themeColor="accent4" w:val="single"/>
        <w:right w:color="8064A2" w:space="0" w:sz="8" w:themeColor="accent4" w:val="single"/>
      </w:tblBorders>
    </w:tblPr>
    <w:tblStylePr w:type="firstRow">
      <w:rPr>
        <w:sz w:val="24"/>
        <w:szCs w:val="24"/>
      </w:rPr>
      <w:tblPr/>
      <w:tcPr>
        <w:tcBorders>
          <w:top w:val="nil"/>
          <w:left w:val="nil"/>
          <w:bottom w:color="8064A2" w:space="0" w:sz="24" w:themeColor="accent4" w:val="single"/>
          <w:right w:val="nil"/>
          <w:insideH w:val="nil"/>
          <w:insideV w:val="nil"/>
        </w:tcBorders>
        <w:shd w:color="auto" w:fill="FFFFFF" w:themeFill="background1" w:val="clear"/>
      </w:tcPr>
    </w:tblStylePr>
    <w:tblStylePr w:type="lastRow">
      <w:tblPr/>
      <w:tcPr>
        <w:tcBorders>
          <w:top w:color="8064A2" w:space="0" w:sz="8" w:themeColor="accent4"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8064A2" w:space="0" w:sz="8" w:themeColor="accent4" w:val="single"/>
          <w:insideH w:val="nil"/>
          <w:insideV w:val="nil"/>
        </w:tcBorders>
        <w:shd w:color="auto" w:fill="FFFFFF" w:themeFill="background1" w:val="clear"/>
      </w:tcPr>
    </w:tblStylePr>
    <w:tblStylePr w:type="lastCol">
      <w:tblPr/>
      <w:tcPr>
        <w:tcBorders>
          <w:top w:val="nil"/>
          <w:left w:color="8064A2" w:space="0" w:sz="8" w:themeColor="accent4"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DFD8E8" w:themeFill="accent4" w:themeFillTint="3F" w:val="clear"/>
      </w:tcPr>
    </w:tblStylePr>
    <w:tblStylePr w:type="band1Horz">
      <w:tblPr/>
      <w:tcPr>
        <w:tcBorders>
          <w:top w:val="nil"/>
          <w:bottom w:val="nil"/>
          <w:insideH w:val="nil"/>
          <w:insideV w:val="nil"/>
        </w:tcBorders>
        <w:shd w:color="auto" w:fill="DFD8E8" w:themeFill="accent4" w:themeFillTint="3F" w:val="clear"/>
      </w:tcPr>
    </w:tblStylePr>
    <w:tblStylePr w:type="nwCell">
      <w:tblPr/>
      <w:tcPr>
        <w:shd w:color="auto" w:fill="FFFFFF" w:themeFill="background1" w:val="clear"/>
      </w:tcPr>
    </w:tblStylePr>
    <w:tblStylePr w:type="swCell">
      <w:tblPr/>
      <w:tcPr>
        <w:tcBorders>
          <w:top w:val="nil"/>
        </w:tcBorders>
      </w:tcPr>
    </w:tblStylePr>
  </w:style>
  <w:style w:styleId="MediumList2-Accent5" w:type="table">
    <w:name w:val="Medium List 2 Accent 5"/>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Borders>
        <w:top w:color="4BACC6" w:space="0" w:sz="8" w:themeColor="accent5" w:val="single"/>
        <w:left w:color="4BACC6" w:space="0" w:sz="8" w:themeColor="accent5" w:val="single"/>
        <w:bottom w:color="4BACC6" w:space="0" w:sz="8" w:themeColor="accent5" w:val="single"/>
        <w:right w:color="4BACC6" w:space="0" w:sz="8" w:themeColor="accent5" w:val="single"/>
      </w:tblBorders>
    </w:tblPr>
    <w:tblStylePr w:type="firstRow">
      <w:rPr>
        <w:sz w:val="24"/>
        <w:szCs w:val="24"/>
      </w:rPr>
      <w:tblPr/>
      <w:tcPr>
        <w:tcBorders>
          <w:top w:val="nil"/>
          <w:left w:val="nil"/>
          <w:bottom w:color="4BACC6" w:space="0" w:sz="24" w:themeColor="accent5" w:val="single"/>
          <w:right w:val="nil"/>
          <w:insideH w:val="nil"/>
          <w:insideV w:val="nil"/>
        </w:tcBorders>
        <w:shd w:color="auto" w:fill="FFFFFF" w:themeFill="background1" w:val="clear"/>
      </w:tcPr>
    </w:tblStylePr>
    <w:tblStylePr w:type="lastRow">
      <w:tblPr/>
      <w:tcPr>
        <w:tcBorders>
          <w:top w:color="4BACC6" w:space="0" w:sz="8" w:themeColor="accent5"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4BACC6" w:space="0" w:sz="8" w:themeColor="accent5" w:val="single"/>
          <w:insideH w:val="nil"/>
          <w:insideV w:val="nil"/>
        </w:tcBorders>
        <w:shd w:color="auto" w:fill="FFFFFF" w:themeFill="background1" w:val="clear"/>
      </w:tcPr>
    </w:tblStylePr>
    <w:tblStylePr w:type="lastCol">
      <w:tblPr/>
      <w:tcPr>
        <w:tcBorders>
          <w:top w:val="nil"/>
          <w:left w:color="4BACC6" w:space="0" w:sz="8" w:themeColor="accent5"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D2EAF1" w:themeFill="accent5" w:themeFillTint="3F" w:val="clear"/>
      </w:tcPr>
    </w:tblStylePr>
    <w:tblStylePr w:type="band1Horz">
      <w:tblPr/>
      <w:tcPr>
        <w:tcBorders>
          <w:top w:val="nil"/>
          <w:bottom w:val="nil"/>
          <w:insideH w:val="nil"/>
          <w:insideV w:val="nil"/>
        </w:tcBorders>
        <w:shd w:color="auto" w:fill="D2EAF1" w:themeFill="accent5" w:themeFillTint="3F" w:val="clear"/>
      </w:tcPr>
    </w:tblStylePr>
    <w:tblStylePr w:type="nwCell">
      <w:tblPr/>
      <w:tcPr>
        <w:shd w:color="auto" w:fill="FFFFFF" w:themeFill="background1" w:val="clear"/>
      </w:tcPr>
    </w:tblStylePr>
    <w:tblStylePr w:type="swCell">
      <w:tblPr/>
      <w:tcPr>
        <w:tcBorders>
          <w:top w:val="nil"/>
        </w:tcBorders>
      </w:tcPr>
    </w:tblStylePr>
  </w:style>
  <w:style w:styleId="MediumList2-Accent6" w:type="table">
    <w:name w:val="Medium List 2 Accent 6"/>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Borders>
        <w:top w:color="F79646" w:space="0" w:sz="8" w:themeColor="accent6" w:val="single"/>
        <w:left w:color="F79646" w:space="0" w:sz="8" w:themeColor="accent6" w:val="single"/>
        <w:bottom w:color="F79646" w:space="0" w:sz="8" w:themeColor="accent6" w:val="single"/>
        <w:right w:color="F79646" w:space="0" w:sz="8" w:themeColor="accent6" w:val="single"/>
      </w:tblBorders>
    </w:tblPr>
    <w:tblStylePr w:type="firstRow">
      <w:rPr>
        <w:sz w:val="24"/>
        <w:szCs w:val="24"/>
      </w:rPr>
      <w:tblPr/>
      <w:tcPr>
        <w:tcBorders>
          <w:top w:val="nil"/>
          <w:left w:val="nil"/>
          <w:bottom w:color="F79646" w:space="0" w:sz="24" w:themeColor="accent6" w:val="single"/>
          <w:right w:val="nil"/>
          <w:insideH w:val="nil"/>
          <w:insideV w:val="nil"/>
        </w:tcBorders>
        <w:shd w:color="auto" w:fill="FFFFFF" w:themeFill="background1" w:val="clear"/>
      </w:tcPr>
    </w:tblStylePr>
    <w:tblStylePr w:type="lastRow">
      <w:tblPr/>
      <w:tcPr>
        <w:tcBorders>
          <w:top w:color="F79646" w:space="0" w:sz="8" w:themeColor="accent6"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F79646" w:space="0" w:sz="8" w:themeColor="accent6" w:val="single"/>
          <w:insideH w:val="nil"/>
          <w:insideV w:val="nil"/>
        </w:tcBorders>
        <w:shd w:color="auto" w:fill="FFFFFF" w:themeFill="background1" w:val="clear"/>
      </w:tcPr>
    </w:tblStylePr>
    <w:tblStylePr w:type="lastCol">
      <w:tblPr/>
      <w:tcPr>
        <w:tcBorders>
          <w:top w:val="nil"/>
          <w:left w:color="F79646" w:space="0" w:sz="8" w:themeColor="accent6"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FDE4D0" w:themeFill="accent6" w:themeFillTint="3F" w:val="clear"/>
      </w:tcPr>
    </w:tblStylePr>
    <w:tblStylePr w:type="band1Horz">
      <w:tblPr/>
      <w:tcPr>
        <w:tcBorders>
          <w:top w:val="nil"/>
          <w:bottom w:val="nil"/>
          <w:insideH w:val="nil"/>
          <w:insideV w:val="nil"/>
        </w:tcBorders>
        <w:shd w:color="auto" w:fill="FDE4D0" w:themeFill="accent6" w:themeFillTint="3F" w:val="clear"/>
      </w:tcPr>
    </w:tblStylePr>
    <w:tblStylePr w:type="nwCell">
      <w:tblPr/>
      <w:tcPr>
        <w:shd w:color="auto" w:fill="FFFFFF" w:themeFill="background1" w:val="clear"/>
      </w:tcPr>
    </w:tblStylePr>
    <w:tblStylePr w:type="swCell">
      <w:tblPr/>
      <w:tcPr>
        <w:tcBorders>
          <w:top w:val="nil"/>
        </w:tcBorders>
      </w:tcPr>
    </w:tblStylePr>
  </w:style>
  <w:style w:styleId="MediumGrid1" w:type="table">
    <w:name w:val="Medium Grid 1"/>
    <w:basedOn w:val="TableNormal"/>
    <w:uiPriority w:val="67"/>
    <w:rsid w:val="00CB0664"/>
    <w:pPr>
      <w:spacing w:after="0" w:line="240" w:lineRule="auto"/>
    </w:pPr>
    <w:tblPr>
      <w:tblStyleRowBandSize w:val="1"/>
      <w:tblStyleColBandSize w:val="1"/>
      <w:tblBorders>
        <w:top w:color="404040" w:space="0" w:sz="8" w:themeColor="text1" w:themeTint="BF" w:val="single"/>
        <w:left w:color="404040" w:space="0" w:sz="8" w:themeColor="text1" w:themeTint="BF" w:val="single"/>
        <w:bottom w:color="404040" w:space="0" w:sz="8" w:themeColor="text1" w:themeTint="BF" w:val="single"/>
        <w:right w:color="404040" w:space="0" w:sz="8" w:themeColor="text1" w:themeTint="BF" w:val="single"/>
        <w:insideH w:color="404040" w:space="0" w:sz="8" w:themeColor="text1" w:themeTint="BF" w:val="single"/>
        <w:insideV w:color="404040" w:space="0" w:sz="8" w:themeColor="text1" w:themeTint="BF" w:val="single"/>
      </w:tblBorders>
    </w:tblPr>
    <w:tcPr>
      <w:shd w:color="auto" w:fill="C0C0C0" w:themeFill="text1" w:themeFillTint="3F" w:val="clear"/>
    </w:tcPr>
    <w:tblStylePr w:type="firstRow">
      <w:rPr>
        <w:b/>
        <w:bCs/>
      </w:rPr>
    </w:tblStylePr>
    <w:tblStylePr w:type="lastRow">
      <w:rPr>
        <w:b/>
        <w:bCs/>
      </w:rPr>
      <w:tblPr/>
      <w:tcPr>
        <w:tcBorders>
          <w:top w:color="404040" w:space="0" w:sz="18" w:themeColor="text1" w:themeTint="BF" w:val="single"/>
        </w:tcBorders>
      </w:tcPr>
    </w:tblStylePr>
    <w:tblStylePr w:type="firstCol">
      <w:rPr>
        <w:b/>
        <w:bCs/>
      </w:rPr>
    </w:tblStylePr>
    <w:tblStylePr w:type="lastCol">
      <w:rPr>
        <w:b/>
        <w:bCs/>
      </w:rPr>
    </w:tblStylePr>
    <w:tblStylePr w:type="band1Vert">
      <w:tblPr/>
      <w:tcPr>
        <w:shd w:color="auto" w:fill="808080" w:themeFill="text1" w:themeFillTint="7F" w:val="clear"/>
      </w:tcPr>
    </w:tblStylePr>
    <w:tblStylePr w:type="band1Horz">
      <w:tblPr/>
      <w:tcPr>
        <w:shd w:color="auto" w:fill="808080" w:themeFill="text1" w:themeFillTint="7F" w:val="clear"/>
      </w:tcPr>
    </w:tblStylePr>
  </w:style>
  <w:style w:styleId="MediumGrid1-Accent1" w:type="table">
    <w:name w:val="Medium Grid 1 Accent 1"/>
    <w:basedOn w:val="TableNormal"/>
    <w:uiPriority w:val="67"/>
    <w:rsid w:val="00CB0664"/>
    <w:pPr>
      <w:spacing w:after="0" w:line="240" w:lineRule="auto"/>
    </w:pPr>
    <w:tblPr>
      <w:tblStyleRowBandSize w:val="1"/>
      <w:tblStyleColBandSize w:val="1"/>
      <w:tblBorders>
        <w:top w:color="7BA0CD" w:space="0" w:sz="8" w:themeColor="accent1" w:themeTint="BF" w:val="single"/>
        <w:left w:color="7BA0CD" w:space="0" w:sz="8" w:themeColor="accent1" w:themeTint="BF" w:val="single"/>
        <w:bottom w:color="7BA0CD" w:space="0" w:sz="8" w:themeColor="accent1" w:themeTint="BF" w:val="single"/>
        <w:right w:color="7BA0CD" w:space="0" w:sz="8" w:themeColor="accent1" w:themeTint="BF" w:val="single"/>
        <w:insideH w:color="7BA0CD" w:space="0" w:sz="8" w:themeColor="accent1" w:themeTint="BF" w:val="single"/>
        <w:insideV w:color="7BA0CD" w:space="0" w:sz="8" w:themeColor="accent1" w:themeTint="BF" w:val="single"/>
      </w:tblBorders>
    </w:tblPr>
    <w:tcPr>
      <w:shd w:color="auto" w:fill="D3DFEE" w:themeFill="accent1" w:themeFillTint="3F" w:val="clear"/>
    </w:tcPr>
    <w:tblStylePr w:type="firstRow">
      <w:rPr>
        <w:b/>
        <w:bCs/>
      </w:rPr>
    </w:tblStylePr>
    <w:tblStylePr w:type="lastRow">
      <w:rPr>
        <w:b/>
        <w:bCs/>
      </w:rPr>
      <w:tblPr/>
      <w:tcPr>
        <w:tcBorders>
          <w:top w:color="7BA0CD" w:space="0" w:sz="18" w:themeColor="accent1" w:themeTint="BF" w:val="single"/>
        </w:tcBorders>
      </w:tcPr>
    </w:tblStylePr>
    <w:tblStylePr w:type="firstCol">
      <w:rPr>
        <w:b/>
        <w:bCs/>
      </w:rPr>
    </w:tblStylePr>
    <w:tblStylePr w:type="lastCol">
      <w:rPr>
        <w:b/>
        <w:bCs/>
      </w:rPr>
    </w:tblStylePr>
    <w:tblStylePr w:type="band1Vert">
      <w:tblPr/>
      <w:tcPr>
        <w:shd w:color="auto" w:fill="A7BFDE" w:themeFill="accent1" w:themeFillTint="7F" w:val="clear"/>
      </w:tcPr>
    </w:tblStylePr>
    <w:tblStylePr w:type="band1Horz">
      <w:tblPr/>
      <w:tcPr>
        <w:shd w:color="auto" w:fill="A7BFDE" w:themeFill="accent1" w:themeFillTint="7F" w:val="clear"/>
      </w:tcPr>
    </w:tblStylePr>
  </w:style>
  <w:style w:styleId="MediumGrid1-Accent2" w:type="table">
    <w:name w:val="Medium Grid 1 Accent 2"/>
    <w:basedOn w:val="TableNormal"/>
    <w:uiPriority w:val="67"/>
    <w:rsid w:val="00CB0664"/>
    <w:pPr>
      <w:spacing w:after="0" w:line="240" w:lineRule="auto"/>
    </w:pPr>
    <w:tblPr>
      <w:tblStyleRowBandSize w:val="1"/>
      <w:tblStyleColBandSize w:val="1"/>
      <w:tblBorders>
        <w:top w:color="CF7B79" w:space="0" w:sz="8" w:themeColor="accent2" w:themeTint="BF" w:val="single"/>
        <w:left w:color="CF7B79" w:space="0" w:sz="8" w:themeColor="accent2" w:themeTint="BF" w:val="single"/>
        <w:bottom w:color="CF7B79" w:space="0" w:sz="8" w:themeColor="accent2" w:themeTint="BF" w:val="single"/>
        <w:right w:color="CF7B79" w:space="0" w:sz="8" w:themeColor="accent2" w:themeTint="BF" w:val="single"/>
        <w:insideH w:color="CF7B79" w:space="0" w:sz="8" w:themeColor="accent2" w:themeTint="BF" w:val="single"/>
        <w:insideV w:color="CF7B79" w:space="0" w:sz="8" w:themeColor="accent2" w:themeTint="BF" w:val="single"/>
      </w:tblBorders>
    </w:tblPr>
    <w:tcPr>
      <w:shd w:color="auto" w:fill="EFD3D2" w:themeFill="accent2" w:themeFillTint="3F" w:val="clear"/>
    </w:tcPr>
    <w:tblStylePr w:type="firstRow">
      <w:rPr>
        <w:b/>
        <w:bCs/>
      </w:rPr>
    </w:tblStylePr>
    <w:tblStylePr w:type="lastRow">
      <w:rPr>
        <w:b/>
        <w:bCs/>
      </w:rPr>
      <w:tblPr/>
      <w:tcPr>
        <w:tcBorders>
          <w:top w:color="CF7B79" w:space="0" w:sz="18" w:themeColor="accent2" w:themeTint="BF" w:val="single"/>
        </w:tcBorders>
      </w:tcPr>
    </w:tblStylePr>
    <w:tblStylePr w:type="firstCol">
      <w:rPr>
        <w:b/>
        <w:bCs/>
      </w:rPr>
    </w:tblStylePr>
    <w:tblStylePr w:type="lastCol">
      <w:rPr>
        <w:b/>
        <w:bCs/>
      </w:rPr>
    </w:tblStylePr>
    <w:tblStylePr w:type="band1Vert">
      <w:tblPr/>
      <w:tcPr>
        <w:shd w:color="auto" w:fill="DFA7A6" w:themeFill="accent2" w:themeFillTint="7F" w:val="clear"/>
      </w:tcPr>
    </w:tblStylePr>
    <w:tblStylePr w:type="band1Horz">
      <w:tblPr/>
      <w:tcPr>
        <w:shd w:color="auto" w:fill="DFA7A6" w:themeFill="accent2" w:themeFillTint="7F" w:val="clear"/>
      </w:tcPr>
    </w:tblStylePr>
  </w:style>
  <w:style w:styleId="MediumGrid1-Accent3" w:type="table">
    <w:name w:val="Medium Grid 1 Accent 3"/>
    <w:basedOn w:val="TableNormal"/>
    <w:uiPriority w:val="67"/>
    <w:rsid w:val="00CB0664"/>
    <w:pPr>
      <w:spacing w:after="0" w:line="240" w:lineRule="auto"/>
    </w:pPr>
    <w:tblPr>
      <w:tblStyleRowBandSize w:val="1"/>
      <w:tblStyleColBandSize w:val="1"/>
      <w:tblBorders>
        <w:top w:color="B3CC82" w:space="0" w:sz="8" w:themeColor="accent3" w:themeTint="BF" w:val="single"/>
        <w:left w:color="B3CC82" w:space="0" w:sz="8" w:themeColor="accent3" w:themeTint="BF" w:val="single"/>
        <w:bottom w:color="B3CC82" w:space="0" w:sz="8" w:themeColor="accent3" w:themeTint="BF" w:val="single"/>
        <w:right w:color="B3CC82" w:space="0" w:sz="8" w:themeColor="accent3" w:themeTint="BF" w:val="single"/>
        <w:insideH w:color="B3CC82" w:space="0" w:sz="8" w:themeColor="accent3" w:themeTint="BF" w:val="single"/>
        <w:insideV w:color="B3CC82" w:space="0" w:sz="8" w:themeColor="accent3" w:themeTint="BF" w:val="single"/>
      </w:tblBorders>
    </w:tblPr>
    <w:tcPr>
      <w:shd w:color="auto" w:fill="E6EED5" w:themeFill="accent3" w:themeFillTint="3F" w:val="clear"/>
    </w:tcPr>
    <w:tblStylePr w:type="firstRow">
      <w:rPr>
        <w:b/>
        <w:bCs/>
      </w:rPr>
    </w:tblStylePr>
    <w:tblStylePr w:type="lastRow">
      <w:rPr>
        <w:b/>
        <w:bCs/>
      </w:rPr>
      <w:tblPr/>
      <w:tcPr>
        <w:tcBorders>
          <w:top w:color="B3CC82" w:space="0" w:sz="18" w:themeColor="accent3" w:themeTint="BF" w:val="single"/>
        </w:tcBorders>
      </w:tcPr>
    </w:tblStylePr>
    <w:tblStylePr w:type="firstCol">
      <w:rPr>
        <w:b/>
        <w:bCs/>
      </w:rPr>
    </w:tblStylePr>
    <w:tblStylePr w:type="lastCol">
      <w:rPr>
        <w:b/>
        <w:bCs/>
      </w:rPr>
    </w:tblStylePr>
    <w:tblStylePr w:type="band1Vert">
      <w:tblPr/>
      <w:tcPr>
        <w:shd w:color="auto" w:fill="CDDDAC" w:themeFill="accent3" w:themeFillTint="7F" w:val="clear"/>
      </w:tcPr>
    </w:tblStylePr>
    <w:tblStylePr w:type="band1Horz">
      <w:tblPr/>
      <w:tcPr>
        <w:shd w:color="auto" w:fill="CDDDAC" w:themeFill="accent3" w:themeFillTint="7F" w:val="clear"/>
      </w:tcPr>
    </w:tblStylePr>
  </w:style>
  <w:style w:styleId="MediumGrid1-Accent4" w:type="table">
    <w:name w:val="Medium Grid 1 Accent 4"/>
    <w:basedOn w:val="TableNormal"/>
    <w:uiPriority w:val="67"/>
    <w:rsid w:val="00CB0664"/>
    <w:pPr>
      <w:spacing w:after="0" w:line="240" w:lineRule="auto"/>
    </w:pPr>
    <w:tblPr>
      <w:tblStyleRowBandSize w:val="1"/>
      <w:tblStyleColBandSize w:val="1"/>
      <w:tblBorders>
        <w:top w:color="9F8AB9" w:space="0" w:sz="8" w:themeColor="accent4" w:themeTint="BF" w:val="single"/>
        <w:left w:color="9F8AB9" w:space="0" w:sz="8" w:themeColor="accent4" w:themeTint="BF" w:val="single"/>
        <w:bottom w:color="9F8AB9" w:space="0" w:sz="8" w:themeColor="accent4" w:themeTint="BF" w:val="single"/>
        <w:right w:color="9F8AB9" w:space="0" w:sz="8" w:themeColor="accent4" w:themeTint="BF" w:val="single"/>
        <w:insideH w:color="9F8AB9" w:space="0" w:sz="8" w:themeColor="accent4" w:themeTint="BF" w:val="single"/>
        <w:insideV w:color="9F8AB9" w:space="0" w:sz="8" w:themeColor="accent4" w:themeTint="BF" w:val="single"/>
      </w:tblBorders>
    </w:tblPr>
    <w:tcPr>
      <w:shd w:color="auto" w:fill="DFD8E8" w:themeFill="accent4" w:themeFillTint="3F" w:val="clear"/>
    </w:tcPr>
    <w:tblStylePr w:type="firstRow">
      <w:rPr>
        <w:b/>
        <w:bCs/>
      </w:rPr>
    </w:tblStylePr>
    <w:tblStylePr w:type="lastRow">
      <w:rPr>
        <w:b/>
        <w:bCs/>
      </w:rPr>
      <w:tblPr/>
      <w:tcPr>
        <w:tcBorders>
          <w:top w:color="9F8AB9" w:space="0" w:sz="18" w:themeColor="accent4" w:themeTint="BF" w:val="single"/>
        </w:tcBorders>
      </w:tcPr>
    </w:tblStylePr>
    <w:tblStylePr w:type="firstCol">
      <w:rPr>
        <w:b/>
        <w:bCs/>
      </w:rPr>
    </w:tblStylePr>
    <w:tblStylePr w:type="lastCol">
      <w:rPr>
        <w:b/>
        <w:bCs/>
      </w:rPr>
    </w:tblStylePr>
    <w:tblStylePr w:type="band1Vert">
      <w:tblPr/>
      <w:tcPr>
        <w:shd w:color="auto" w:fill="BFB1D0" w:themeFill="accent4" w:themeFillTint="7F" w:val="clear"/>
      </w:tcPr>
    </w:tblStylePr>
    <w:tblStylePr w:type="band1Horz">
      <w:tblPr/>
      <w:tcPr>
        <w:shd w:color="auto" w:fill="BFB1D0" w:themeFill="accent4" w:themeFillTint="7F" w:val="clear"/>
      </w:tcPr>
    </w:tblStylePr>
  </w:style>
  <w:style w:styleId="MediumGrid1-Accent5" w:type="table">
    <w:name w:val="Medium Grid 1 Accent 5"/>
    <w:basedOn w:val="TableNormal"/>
    <w:uiPriority w:val="67"/>
    <w:rsid w:val="00CB0664"/>
    <w:pPr>
      <w:spacing w:after="0" w:line="240" w:lineRule="auto"/>
    </w:pPr>
    <w:tblPr>
      <w:tblStyleRowBandSize w:val="1"/>
      <w:tblStyleColBandSize w:val="1"/>
      <w:tblBorders>
        <w:top w:color="78C0D4" w:space="0" w:sz="8" w:themeColor="accent5" w:themeTint="BF" w:val="single"/>
        <w:left w:color="78C0D4" w:space="0" w:sz="8" w:themeColor="accent5" w:themeTint="BF" w:val="single"/>
        <w:bottom w:color="78C0D4" w:space="0" w:sz="8" w:themeColor="accent5" w:themeTint="BF" w:val="single"/>
        <w:right w:color="78C0D4" w:space="0" w:sz="8" w:themeColor="accent5" w:themeTint="BF" w:val="single"/>
        <w:insideH w:color="78C0D4" w:space="0" w:sz="8" w:themeColor="accent5" w:themeTint="BF" w:val="single"/>
        <w:insideV w:color="78C0D4" w:space="0" w:sz="8" w:themeColor="accent5" w:themeTint="BF" w:val="single"/>
      </w:tblBorders>
    </w:tblPr>
    <w:tcPr>
      <w:shd w:color="auto" w:fill="D2EAF1" w:themeFill="accent5" w:themeFillTint="3F" w:val="clear"/>
    </w:tcPr>
    <w:tblStylePr w:type="firstRow">
      <w:rPr>
        <w:b/>
        <w:bCs/>
      </w:rPr>
    </w:tblStylePr>
    <w:tblStylePr w:type="lastRow">
      <w:rPr>
        <w:b/>
        <w:bCs/>
      </w:rPr>
      <w:tblPr/>
      <w:tcPr>
        <w:tcBorders>
          <w:top w:color="78C0D4" w:space="0" w:sz="18" w:themeColor="accent5" w:themeTint="BF" w:val="single"/>
        </w:tcBorders>
      </w:tcPr>
    </w:tblStylePr>
    <w:tblStylePr w:type="firstCol">
      <w:rPr>
        <w:b/>
        <w:bCs/>
      </w:rPr>
    </w:tblStylePr>
    <w:tblStylePr w:type="lastCol">
      <w:rPr>
        <w:b/>
        <w:bCs/>
      </w:rPr>
    </w:tblStylePr>
    <w:tblStylePr w:type="band1Vert">
      <w:tblPr/>
      <w:tcPr>
        <w:shd w:color="auto" w:fill="A5D5E2" w:themeFill="accent5" w:themeFillTint="7F" w:val="clear"/>
      </w:tcPr>
    </w:tblStylePr>
    <w:tblStylePr w:type="band1Horz">
      <w:tblPr/>
      <w:tcPr>
        <w:shd w:color="auto" w:fill="A5D5E2" w:themeFill="accent5" w:themeFillTint="7F" w:val="clear"/>
      </w:tcPr>
    </w:tblStylePr>
  </w:style>
  <w:style w:styleId="MediumGrid1-Accent6" w:type="table">
    <w:name w:val="Medium Grid 1 Accent 6"/>
    <w:basedOn w:val="TableNormal"/>
    <w:uiPriority w:val="67"/>
    <w:rsid w:val="00CB0664"/>
    <w:pPr>
      <w:spacing w:after="0" w:line="240" w:lineRule="auto"/>
    </w:pPr>
    <w:tblPr>
      <w:tblStyleRowBandSize w:val="1"/>
      <w:tblStyleColBandSize w:val="1"/>
      <w:tblBorders>
        <w:top w:color="F9B074" w:space="0" w:sz="8" w:themeColor="accent6" w:themeTint="BF" w:val="single"/>
        <w:left w:color="F9B074" w:space="0" w:sz="8" w:themeColor="accent6" w:themeTint="BF" w:val="single"/>
        <w:bottom w:color="F9B074" w:space="0" w:sz="8" w:themeColor="accent6" w:themeTint="BF" w:val="single"/>
        <w:right w:color="F9B074" w:space="0" w:sz="8" w:themeColor="accent6" w:themeTint="BF" w:val="single"/>
        <w:insideH w:color="F9B074" w:space="0" w:sz="8" w:themeColor="accent6" w:themeTint="BF" w:val="single"/>
        <w:insideV w:color="F9B074" w:space="0" w:sz="8" w:themeColor="accent6" w:themeTint="BF" w:val="single"/>
      </w:tblBorders>
    </w:tblPr>
    <w:tcPr>
      <w:shd w:color="auto" w:fill="FDE4D0" w:themeFill="accent6" w:themeFillTint="3F" w:val="clear"/>
    </w:tcPr>
    <w:tblStylePr w:type="firstRow">
      <w:rPr>
        <w:b/>
        <w:bCs/>
      </w:rPr>
    </w:tblStylePr>
    <w:tblStylePr w:type="lastRow">
      <w:rPr>
        <w:b/>
        <w:bCs/>
      </w:rPr>
      <w:tblPr/>
      <w:tcPr>
        <w:tcBorders>
          <w:top w:color="F9B074" w:space="0" w:sz="18" w:themeColor="accent6" w:themeTint="BF" w:val="single"/>
        </w:tcBorders>
      </w:tcPr>
    </w:tblStylePr>
    <w:tblStylePr w:type="firstCol">
      <w:rPr>
        <w:b/>
        <w:bCs/>
      </w:rPr>
    </w:tblStylePr>
    <w:tblStylePr w:type="lastCol">
      <w:rPr>
        <w:b/>
        <w:bCs/>
      </w:rPr>
    </w:tblStylePr>
    <w:tblStylePr w:type="band1Vert">
      <w:tblPr/>
      <w:tcPr>
        <w:shd w:color="auto" w:fill="FBCAA2" w:themeFill="accent6" w:themeFillTint="7F" w:val="clear"/>
      </w:tcPr>
    </w:tblStylePr>
    <w:tblStylePr w:type="band1Horz">
      <w:tblPr/>
      <w:tcPr>
        <w:shd w:color="auto" w:fill="FBCAA2" w:themeFill="accent6" w:themeFillTint="7F" w:val="clear"/>
      </w:tcPr>
    </w:tblStylePr>
  </w:style>
  <w:style w:styleId="MediumGrid2" w:type="table">
    <w:name w:val="Medium Grid 2"/>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Borders>
        <w:top w:color="000000" w:space="0" w:sz="8" w:themeColor="text1" w:val="single"/>
        <w:left w:color="000000" w:space="0" w:sz="8" w:themeColor="text1" w:val="single"/>
        <w:bottom w:color="000000" w:space="0" w:sz="8" w:themeColor="text1" w:val="single"/>
        <w:right w:color="000000" w:space="0" w:sz="8" w:themeColor="text1" w:val="single"/>
        <w:insideH w:color="000000" w:space="0" w:sz="8" w:themeColor="text1" w:val="single"/>
        <w:insideV w:color="000000" w:space="0" w:sz="8" w:themeColor="text1" w:val="single"/>
      </w:tblBorders>
    </w:tblPr>
    <w:tcPr>
      <w:shd w:color="auto" w:fill="C0C0C0" w:themeFill="text1" w:themeFillTint="3F" w:val="clear"/>
    </w:tcPr>
    <w:tblStylePr w:type="firstRow">
      <w:rPr>
        <w:b/>
        <w:bCs/>
        <w:color w:themeColor="text1" w:val="000000"/>
      </w:rPr>
      <w:tblPr/>
      <w:tcPr>
        <w:shd w:color="auto" w:fill="E6E6E6" w:themeFill="text1"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CCCCCC" w:themeFill="text1" w:themeFillTint="33" w:val="clear"/>
      </w:tcPr>
    </w:tblStylePr>
    <w:tblStylePr w:type="band1Vert">
      <w:tblPr/>
      <w:tcPr>
        <w:shd w:color="auto" w:fill="808080" w:themeFill="text1" w:themeFillTint="7F" w:val="clear"/>
      </w:tcPr>
    </w:tblStylePr>
    <w:tblStylePr w:type="band1Horz">
      <w:tblPr/>
      <w:tcPr>
        <w:tcBorders>
          <w:insideH w:color="000000" w:space="0" w:sz="6" w:themeColor="text1" w:val="single"/>
          <w:insideV w:color="000000" w:space="0" w:sz="6" w:themeColor="text1" w:val="single"/>
        </w:tcBorders>
        <w:shd w:color="auto" w:fill="808080" w:themeFill="text1" w:themeFillTint="7F" w:val="clear"/>
      </w:tcPr>
    </w:tblStylePr>
    <w:tblStylePr w:type="nwCell">
      <w:tblPr/>
      <w:tcPr>
        <w:shd w:color="auto" w:fill="FFFFFF" w:themeFill="background1" w:val="clear"/>
      </w:tcPr>
    </w:tblStylePr>
  </w:style>
  <w:style w:styleId="MediumGrid2-Accent1" w:type="table">
    <w:name w:val="Medium Grid 2 Accent 1"/>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Borders>
        <w:top w:color="4F81BD" w:space="0" w:sz="8" w:themeColor="accent1" w:val="single"/>
        <w:left w:color="4F81BD" w:space="0" w:sz="8" w:themeColor="accent1" w:val="single"/>
        <w:bottom w:color="4F81BD" w:space="0" w:sz="8" w:themeColor="accent1" w:val="single"/>
        <w:right w:color="4F81BD" w:space="0" w:sz="8" w:themeColor="accent1" w:val="single"/>
        <w:insideH w:color="4F81BD" w:space="0" w:sz="8" w:themeColor="accent1" w:val="single"/>
        <w:insideV w:color="4F81BD" w:space="0" w:sz="8" w:themeColor="accent1" w:val="single"/>
      </w:tblBorders>
    </w:tblPr>
    <w:tcPr>
      <w:shd w:color="auto" w:fill="D3DFEE" w:themeFill="accent1" w:themeFillTint="3F" w:val="clear"/>
    </w:tcPr>
    <w:tblStylePr w:type="firstRow">
      <w:rPr>
        <w:b/>
        <w:bCs/>
        <w:color w:themeColor="text1" w:val="000000"/>
      </w:rPr>
      <w:tblPr/>
      <w:tcPr>
        <w:shd w:color="auto" w:fill="EDF2F8" w:themeFill="accent1"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DBE5F1" w:themeFill="accent1" w:themeFillTint="33" w:val="clear"/>
      </w:tcPr>
    </w:tblStylePr>
    <w:tblStylePr w:type="band1Vert">
      <w:tblPr/>
      <w:tcPr>
        <w:shd w:color="auto" w:fill="A7BFDE" w:themeFill="accent1" w:themeFillTint="7F" w:val="clear"/>
      </w:tcPr>
    </w:tblStylePr>
    <w:tblStylePr w:type="band1Horz">
      <w:tblPr/>
      <w:tcPr>
        <w:tcBorders>
          <w:insideH w:color="4F81BD" w:space="0" w:sz="6" w:themeColor="accent1" w:val="single"/>
          <w:insideV w:color="4F81BD" w:space="0" w:sz="6" w:themeColor="accent1" w:val="single"/>
        </w:tcBorders>
        <w:shd w:color="auto" w:fill="A7BFDE" w:themeFill="accent1" w:themeFillTint="7F" w:val="clear"/>
      </w:tcPr>
    </w:tblStylePr>
    <w:tblStylePr w:type="nwCell">
      <w:tblPr/>
      <w:tcPr>
        <w:shd w:color="auto" w:fill="FFFFFF" w:themeFill="background1" w:val="clear"/>
      </w:tcPr>
    </w:tblStylePr>
  </w:style>
  <w:style w:styleId="MediumGrid2-Accent2" w:type="table">
    <w:name w:val="Medium Grid 2 Accent 2"/>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Borders>
        <w:top w:color="C0504D" w:space="0" w:sz="8" w:themeColor="accent2" w:val="single"/>
        <w:left w:color="C0504D" w:space="0" w:sz="8" w:themeColor="accent2" w:val="single"/>
        <w:bottom w:color="C0504D" w:space="0" w:sz="8" w:themeColor="accent2" w:val="single"/>
        <w:right w:color="C0504D" w:space="0" w:sz="8" w:themeColor="accent2" w:val="single"/>
        <w:insideH w:color="C0504D" w:space="0" w:sz="8" w:themeColor="accent2" w:val="single"/>
        <w:insideV w:color="C0504D" w:space="0" w:sz="8" w:themeColor="accent2" w:val="single"/>
      </w:tblBorders>
    </w:tblPr>
    <w:tcPr>
      <w:shd w:color="auto" w:fill="EFD3D2" w:themeFill="accent2" w:themeFillTint="3F" w:val="clear"/>
    </w:tcPr>
    <w:tblStylePr w:type="firstRow">
      <w:rPr>
        <w:b/>
        <w:bCs/>
        <w:color w:themeColor="text1" w:val="000000"/>
      </w:rPr>
      <w:tblPr/>
      <w:tcPr>
        <w:shd w:color="auto" w:fill="F8EDED" w:themeFill="accent2"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F2DBDB" w:themeFill="accent2" w:themeFillTint="33" w:val="clear"/>
      </w:tcPr>
    </w:tblStylePr>
    <w:tblStylePr w:type="band1Vert">
      <w:tblPr/>
      <w:tcPr>
        <w:shd w:color="auto" w:fill="DFA7A6" w:themeFill="accent2" w:themeFillTint="7F" w:val="clear"/>
      </w:tcPr>
    </w:tblStylePr>
    <w:tblStylePr w:type="band1Horz">
      <w:tblPr/>
      <w:tcPr>
        <w:tcBorders>
          <w:insideH w:color="C0504D" w:space="0" w:sz="6" w:themeColor="accent2" w:val="single"/>
          <w:insideV w:color="C0504D" w:space="0" w:sz="6" w:themeColor="accent2" w:val="single"/>
        </w:tcBorders>
        <w:shd w:color="auto" w:fill="DFA7A6" w:themeFill="accent2" w:themeFillTint="7F" w:val="clear"/>
      </w:tcPr>
    </w:tblStylePr>
    <w:tblStylePr w:type="nwCell">
      <w:tblPr/>
      <w:tcPr>
        <w:shd w:color="auto" w:fill="FFFFFF" w:themeFill="background1" w:val="clear"/>
      </w:tcPr>
    </w:tblStylePr>
  </w:style>
  <w:style w:styleId="MediumGrid2-Accent3" w:type="table">
    <w:name w:val="Medium Grid 2 Accent 3"/>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Borders>
        <w:top w:color="9BBB59" w:space="0" w:sz="8" w:themeColor="accent3" w:val="single"/>
        <w:left w:color="9BBB59" w:space="0" w:sz="8" w:themeColor="accent3" w:val="single"/>
        <w:bottom w:color="9BBB59" w:space="0" w:sz="8" w:themeColor="accent3" w:val="single"/>
        <w:right w:color="9BBB59" w:space="0" w:sz="8" w:themeColor="accent3" w:val="single"/>
        <w:insideH w:color="9BBB59" w:space="0" w:sz="8" w:themeColor="accent3" w:val="single"/>
        <w:insideV w:color="9BBB59" w:space="0" w:sz="8" w:themeColor="accent3" w:val="single"/>
      </w:tblBorders>
    </w:tblPr>
    <w:tcPr>
      <w:shd w:color="auto" w:fill="E6EED5" w:themeFill="accent3" w:themeFillTint="3F" w:val="clear"/>
    </w:tcPr>
    <w:tblStylePr w:type="firstRow">
      <w:rPr>
        <w:b/>
        <w:bCs/>
        <w:color w:themeColor="text1" w:val="000000"/>
      </w:rPr>
      <w:tblPr/>
      <w:tcPr>
        <w:shd w:color="auto" w:fill="F5F8EE" w:themeFill="accent3"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EAF1DD" w:themeFill="accent3" w:themeFillTint="33" w:val="clear"/>
      </w:tcPr>
    </w:tblStylePr>
    <w:tblStylePr w:type="band1Vert">
      <w:tblPr/>
      <w:tcPr>
        <w:shd w:color="auto" w:fill="CDDDAC" w:themeFill="accent3" w:themeFillTint="7F" w:val="clear"/>
      </w:tcPr>
    </w:tblStylePr>
    <w:tblStylePr w:type="band1Horz">
      <w:tblPr/>
      <w:tcPr>
        <w:tcBorders>
          <w:insideH w:color="9BBB59" w:space="0" w:sz="6" w:themeColor="accent3" w:val="single"/>
          <w:insideV w:color="9BBB59" w:space="0" w:sz="6" w:themeColor="accent3" w:val="single"/>
        </w:tcBorders>
        <w:shd w:color="auto" w:fill="CDDDAC" w:themeFill="accent3" w:themeFillTint="7F" w:val="clear"/>
      </w:tcPr>
    </w:tblStylePr>
    <w:tblStylePr w:type="nwCell">
      <w:tblPr/>
      <w:tcPr>
        <w:shd w:color="auto" w:fill="FFFFFF" w:themeFill="background1" w:val="clear"/>
      </w:tcPr>
    </w:tblStylePr>
  </w:style>
  <w:style w:styleId="MediumGrid2-Accent4" w:type="table">
    <w:name w:val="Medium Grid 2 Accent 4"/>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Borders>
        <w:top w:color="8064A2" w:space="0" w:sz="8" w:themeColor="accent4" w:val="single"/>
        <w:left w:color="8064A2" w:space="0" w:sz="8" w:themeColor="accent4" w:val="single"/>
        <w:bottom w:color="8064A2" w:space="0" w:sz="8" w:themeColor="accent4" w:val="single"/>
        <w:right w:color="8064A2" w:space="0" w:sz="8" w:themeColor="accent4" w:val="single"/>
        <w:insideH w:color="8064A2" w:space="0" w:sz="8" w:themeColor="accent4" w:val="single"/>
        <w:insideV w:color="8064A2" w:space="0" w:sz="8" w:themeColor="accent4" w:val="single"/>
      </w:tblBorders>
    </w:tblPr>
    <w:tcPr>
      <w:shd w:color="auto" w:fill="DFD8E8" w:themeFill="accent4" w:themeFillTint="3F" w:val="clear"/>
    </w:tcPr>
    <w:tblStylePr w:type="firstRow">
      <w:rPr>
        <w:b/>
        <w:bCs/>
        <w:color w:themeColor="text1" w:val="000000"/>
      </w:rPr>
      <w:tblPr/>
      <w:tcPr>
        <w:shd w:color="auto" w:fill="F2EFF6" w:themeFill="accent4"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E5DFEC" w:themeFill="accent4" w:themeFillTint="33" w:val="clear"/>
      </w:tcPr>
    </w:tblStylePr>
    <w:tblStylePr w:type="band1Vert">
      <w:tblPr/>
      <w:tcPr>
        <w:shd w:color="auto" w:fill="BFB1D0" w:themeFill="accent4" w:themeFillTint="7F" w:val="clear"/>
      </w:tcPr>
    </w:tblStylePr>
    <w:tblStylePr w:type="band1Horz">
      <w:tblPr/>
      <w:tcPr>
        <w:tcBorders>
          <w:insideH w:color="8064A2" w:space="0" w:sz="6" w:themeColor="accent4" w:val="single"/>
          <w:insideV w:color="8064A2" w:space="0" w:sz="6" w:themeColor="accent4" w:val="single"/>
        </w:tcBorders>
        <w:shd w:color="auto" w:fill="BFB1D0" w:themeFill="accent4" w:themeFillTint="7F" w:val="clear"/>
      </w:tcPr>
    </w:tblStylePr>
    <w:tblStylePr w:type="nwCell">
      <w:tblPr/>
      <w:tcPr>
        <w:shd w:color="auto" w:fill="FFFFFF" w:themeFill="background1" w:val="clear"/>
      </w:tcPr>
    </w:tblStylePr>
  </w:style>
  <w:style w:styleId="MediumGrid2-Accent5" w:type="table">
    <w:name w:val="Medium Grid 2 Accent 5"/>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Borders>
        <w:top w:color="4BACC6" w:space="0" w:sz="8" w:themeColor="accent5" w:val="single"/>
        <w:left w:color="4BACC6" w:space="0" w:sz="8" w:themeColor="accent5" w:val="single"/>
        <w:bottom w:color="4BACC6" w:space="0" w:sz="8" w:themeColor="accent5" w:val="single"/>
        <w:right w:color="4BACC6" w:space="0" w:sz="8" w:themeColor="accent5" w:val="single"/>
        <w:insideH w:color="4BACC6" w:space="0" w:sz="8" w:themeColor="accent5" w:val="single"/>
        <w:insideV w:color="4BACC6" w:space="0" w:sz="8" w:themeColor="accent5" w:val="single"/>
      </w:tblBorders>
    </w:tblPr>
    <w:tcPr>
      <w:shd w:color="auto" w:fill="D2EAF1" w:themeFill="accent5" w:themeFillTint="3F" w:val="clear"/>
    </w:tcPr>
    <w:tblStylePr w:type="firstRow">
      <w:rPr>
        <w:b/>
        <w:bCs/>
        <w:color w:themeColor="text1" w:val="000000"/>
      </w:rPr>
      <w:tblPr/>
      <w:tcPr>
        <w:shd w:color="auto" w:fill="EDF6F9" w:themeFill="accent5"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DAEEF3" w:themeFill="accent5" w:themeFillTint="33" w:val="clear"/>
      </w:tcPr>
    </w:tblStylePr>
    <w:tblStylePr w:type="band1Vert">
      <w:tblPr/>
      <w:tcPr>
        <w:shd w:color="auto" w:fill="A5D5E2" w:themeFill="accent5" w:themeFillTint="7F" w:val="clear"/>
      </w:tcPr>
    </w:tblStylePr>
    <w:tblStylePr w:type="band1Horz">
      <w:tblPr/>
      <w:tcPr>
        <w:tcBorders>
          <w:insideH w:color="4BACC6" w:space="0" w:sz="6" w:themeColor="accent5" w:val="single"/>
          <w:insideV w:color="4BACC6" w:space="0" w:sz="6" w:themeColor="accent5" w:val="single"/>
        </w:tcBorders>
        <w:shd w:color="auto" w:fill="A5D5E2" w:themeFill="accent5" w:themeFillTint="7F" w:val="clear"/>
      </w:tcPr>
    </w:tblStylePr>
    <w:tblStylePr w:type="nwCell">
      <w:tblPr/>
      <w:tcPr>
        <w:shd w:color="auto" w:fill="FFFFFF" w:themeFill="background1" w:val="clear"/>
      </w:tcPr>
    </w:tblStylePr>
  </w:style>
  <w:style w:styleId="MediumGrid2-Accent6" w:type="table">
    <w:name w:val="Medium Grid 2 Accent 6"/>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Borders>
        <w:top w:color="F79646" w:space="0" w:sz="8" w:themeColor="accent6" w:val="single"/>
        <w:left w:color="F79646" w:space="0" w:sz="8" w:themeColor="accent6" w:val="single"/>
        <w:bottom w:color="F79646" w:space="0" w:sz="8" w:themeColor="accent6" w:val="single"/>
        <w:right w:color="F79646" w:space="0" w:sz="8" w:themeColor="accent6" w:val="single"/>
        <w:insideH w:color="F79646" w:space="0" w:sz="8" w:themeColor="accent6" w:val="single"/>
        <w:insideV w:color="F79646" w:space="0" w:sz="8" w:themeColor="accent6" w:val="single"/>
      </w:tblBorders>
    </w:tblPr>
    <w:tcPr>
      <w:shd w:color="auto" w:fill="FDE4D0" w:themeFill="accent6" w:themeFillTint="3F" w:val="clear"/>
    </w:tcPr>
    <w:tblStylePr w:type="firstRow">
      <w:rPr>
        <w:b/>
        <w:bCs/>
        <w:color w:themeColor="text1" w:val="000000"/>
      </w:rPr>
      <w:tblPr/>
      <w:tcPr>
        <w:shd w:color="auto" w:fill="FEF4EC" w:themeFill="accent6"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FDE9D9" w:themeFill="accent6" w:themeFillTint="33" w:val="clear"/>
      </w:tcPr>
    </w:tblStylePr>
    <w:tblStylePr w:type="band1Vert">
      <w:tblPr/>
      <w:tcPr>
        <w:shd w:color="auto" w:fill="FBCAA2" w:themeFill="accent6" w:themeFillTint="7F" w:val="clear"/>
      </w:tcPr>
    </w:tblStylePr>
    <w:tblStylePr w:type="band1Horz">
      <w:tblPr/>
      <w:tcPr>
        <w:tcBorders>
          <w:insideH w:color="F79646" w:space="0" w:sz="6" w:themeColor="accent6" w:val="single"/>
          <w:insideV w:color="F79646" w:space="0" w:sz="6" w:themeColor="accent6" w:val="single"/>
        </w:tcBorders>
        <w:shd w:color="auto" w:fill="FBCAA2" w:themeFill="accent6" w:themeFillTint="7F" w:val="clear"/>
      </w:tcPr>
    </w:tblStylePr>
    <w:tblStylePr w:type="nwCell">
      <w:tblPr/>
      <w:tcPr>
        <w:shd w:color="auto" w:fill="FFFFFF" w:themeFill="background1" w:val="clear"/>
      </w:tcPr>
    </w:tblStylePr>
  </w:style>
  <w:style w:styleId="MediumGrid3" w:type="table">
    <w:name w:val="Medium Grid 3"/>
    <w:basedOn w:val="TableNormal"/>
    <w:uiPriority w:val="69"/>
    <w:rsid w:val="00CB0664"/>
    <w:pPr>
      <w:spacing w:after="0" w:line="240" w:lineRule="auto"/>
    </w:pPr>
    <w:tblPr>
      <w:tblStyleRowBandSize w:val="1"/>
      <w:tblStyleColBandSize w:val="1"/>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Pr>
    <w:tcPr>
      <w:shd w:color="auto" w:fill="C0C0C0" w:themeFill="text1"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000000" w:themeFill="text1"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000000" w:themeFill="text1"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000000" w:themeFill="text1"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000000" w:themeFill="text1"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808080" w:themeFill="text1"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808080" w:themeFill="text1" w:themeFillTint="7F" w:val="clear"/>
      </w:tcPr>
    </w:tblStylePr>
  </w:style>
  <w:style w:styleId="MediumGrid3-Accent1" w:type="table">
    <w:name w:val="Medium Grid 3 Accent 1"/>
    <w:basedOn w:val="TableNormal"/>
    <w:uiPriority w:val="69"/>
    <w:rsid w:val="00CB0664"/>
    <w:pPr>
      <w:spacing w:after="0" w:line="240" w:lineRule="auto"/>
    </w:pPr>
    <w:tblPr>
      <w:tblStyleRowBandSize w:val="1"/>
      <w:tblStyleColBandSize w:val="1"/>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Pr>
    <w:tcPr>
      <w:shd w:color="auto" w:fill="D3DFEE" w:themeFill="accent1"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4F81BD" w:themeFill="accent1"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4F81BD" w:themeFill="accent1"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4F81BD" w:themeFill="accent1"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4F81BD" w:themeFill="accent1"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A7BFDE" w:themeFill="accent1"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A7BFDE" w:themeFill="accent1" w:themeFillTint="7F" w:val="clear"/>
      </w:tcPr>
    </w:tblStylePr>
  </w:style>
  <w:style w:styleId="MediumGrid3-Accent2" w:type="table">
    <w:name w:val="Medium Grid 3 Accent 2"/>
    <w:basedOn w:val="TableNormal"/>
    <w:uiPriority w:val="69"/>
    <w:rsid w:val="00CB0664"/>
    <w:pPr>
      <w:spacing w:after="0" w:line="240" w:lineRule="auto"/>
    </w:pPr>
    <w:tblPr>
      <w:tblStyleRowBandSize w:val="1"/>
      <w:tblStyleColBandSize w:val="1"/>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Pr>
    <w:tcPr>
      <w:shd w:color="auto" w:fill="EFD3D2" w:themeFill="accent2"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C0504D" w:themeFill="accent2"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C0504D" w:themeFill="accent2"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C0504D" w:themeFill="accent2"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C0504D" w:themeFill="accent2"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DFA7A6" w:themeFill="accent2"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DFA7A6" w:themeFill="accent2" w:themeFillTint="7F" w:val="clear"/>
      </w:tcPr>
    </w:tblStylePr>
  </w:style>
  <w:style w:styleId="MediumGrid3-Accent3" w:type="table">
    <w:name w:val="Medium Grid 3 Accent 3"/>
    <w:basedOn w:val="TableNormal"/>
    <w:uiPriority w:val="69"/>
    <w:rsid w:val="00CB0664"/>
    <w:pPr>
      <w:spacing w:after="0" w:line="240" w:lineRule="auto"/>
    </w:pPr>
    <w:tblPr>
      <w:tblStyleRowBandSize w:val="1"/>
      <w:tblStyleColBandSize w:val="1"/>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Pr>
    <w:tcPr>
      <w:shd w:color="auto" w:fill="E6EED5" w:themeFill="accent3"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9BBB59" w:themeFill="accent3"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9BBB59" w:themeFill="accent3"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9BBB59" w:themeFill="accent3"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9BBB59" w:themeFill="accent3"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CDDDAC" w:themeFill="accent3"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CDDDAC" w:themeFill="accent3" w:themeFillTint="7F" w:val="clear"/>
      </w:tcPr>
    </w:tblStylePr>
  </w:style>
  <w:style w:styleId="MediumGrid3-Accent4" w:type="table">
    <w:name w:val="Medium Grid 3 Accent 4"/>
    <w:basedOn w:val="TableNormal"/>
    <w:uiPriority w:val="69"/>
    <w:rsid w:val="00CB0664"/>
    <w:pPr>
      <w:spacing w:after="0" w:line="240" w:lineRule="auto"/>
    </w:pPr>
    <w:tblPr>
      <w:tblStyleRowBandSize w:val="1"/>
      <w:tblStyleColBandSize w:val="1"/>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Pr>
    <w:tcPr>
      <w:shd w:color="auto" w:fill="DFD8E8" w:themeFill="accent4"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8064A2" w:themeFill="accent4"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8064A2" w:themeFill="accent4"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8064A2" w:themeFill="accent4"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8064A2" w:themeFill="accent4"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BFB1D0" w:themeFill="accent4"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BFB1D0" w:themeFill="accent4" w:themeFillTint="7F" w:val="clear"/>
      </w:tcPr>
    </w:tblStylePr>
  </w:style>
  <w:style w:styleId="MediumGrid3-Accent5" w:type="table">
    <w:name w:val="Medium Grid 3 Accent 5"/>
    <w:basedOn w:val="TableNormal"/>
    <w:uiPriority w:val="69"/>
    <w:rsid w:val="00CB0664"/>
    <w:pPr>
      <w:spacing w:after="0" w:line="240" w:lineRule="auto"/>
    </w:pPr>
    <w:tblPr>
      <w:tblStyleRowBandSize w:val="1"/>
      <w:tblStyleColBandSize w:val="1"/>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Pr>
    <w:tcPr>
      <w:shd w:color="auto" w:fill="D2EAF1" w:themeFill="accent5"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4BACC6" w:themeFill="accent5"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4BACC6" w:themeFill="accent5"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4BACC6" w:themeFill="accent5"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4BACC6" w:themeFill="accent5"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A5D5E2" w:themeFill="accent5"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A5D5E2" w:themeFill="accent5" w:themeFillTint="7F" w:val="clear"/>
      </w:tcPr>
    </w:tblStylePr>
  </w:style>
  <w:style w:styleId="MediumGrid3-Accent6" w:type="table">
    <w:name w:val="Medium Grid 3 Accent 6"/>
    <w:basedOn w:val="TableNormal"/>
    <w:uiPriority w:val="69"/>
    <w:rsid w:val="00CB0664"/>
    <w:pPr>
      <w:spacing w:after="0" w:line="240" w:lineRule="auto"/>
    </w:pPr>
    <w:tblPr>
      <w:tblStyleRowBandSize w:val="1"/>
      <w:tblStyleColBandSize w:val="1"/>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Pr>
    <w:tcPr>
      <w:shd w:color="auto" w:fill="FDE4D0" w:themeFill="accent6"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F79646" w:themeFill="accent6"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F79646" w:themeFill="accent6"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F79646" w:themeFill="accent6"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F79646" w:themeFill="accent6"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FBCAA2" w:themeFill="accent6"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FBCAA2" w:themeFill="accent6" w:themeFillTint="7F" w:val="clear"/>
      </w:tcPr>
    </w:tblStylePr>
  </w:style>
  <w:style w:styleId="DarkList" w:type="table">
    <w:name w:val="Dark List"/>
    <w:basedOn w:val="TableNormal"/>
    <w:uiPriority w:val="70"/>
    <w:rsid w:val="00CB0664"/>
    <w:pPr>
      <w:spacing w:after="0" w:line="240" w:lineRule="auto"/>
    </w:pPr>
    <w:rPr>
      <w:color w:themeColor="background1" w:val="FFFFFF"/>
    </w:rPr>
    <w:tblPr>
      <w:tblStyleRowBandSize w:val="1"/>
      <w:tblStyleColBandSize w:val="1"/>
    </w:tblPr>
    <w:tcPr>
      <w:shd w:color="auto" w:fill="000000" w:themeFill="text1"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000000" w:themeFill="text1" w:themeFillShade="7F" w:val="clear"/>
      </w:tcPr>
    </w:tblStylePr>
    <w:tblStylePr w:type="firstCol">
      <w:tblPr/>
      <w:tcPr>
        <w:tcBorders>
          <w:top w:val="nil"/>
          <w:left w:val="nil"/>
          <w:bottom w:val="nil"/>
          <w:right w:color="FFFFFF" w:space="0" w:sz="18" w:themeColor="background1" w:val="single"/>
          <w:insideH w:val="nil"/>
          <w:insideV w:val="nil"/>
        </w:tcBorders>
        <w:shd w:color="auto" w:fill="000000" w:themeFill="text1" w:themeFillShade="BF" w:val="clear"/>
      </w:tcPr>
    </w:tblStylePr>
    <w:tblStylePr w:type="lastCol">
      <w:tblPr/>
      <w:tcPr>
        <w:tcBorders>
          <w:top w:val="nil"/>
          <w:left w:color="FFFFFF" w:space="0" w:sz="18" w:themeColor="background1" w:val="single"/>
          <w:bottom w:val="nil"/>
          <w:right w:val="nil"/>
          <w:insideH w:val="nil"/>
          <w:insideV w:val="nil"/>
        </w:tcBorders>
        <w:shd w:color="auto" w:fill="000000" w:themeFill="text1" w:themeFillShade="BF" w:val="clear"/>
      </w:tcPr>
    </w:tblStylePr>
    <w:tblStylePr w:type="band1Vert">
      <w:tblPr/>
      <w:tcPr>
        <w:tcBorders>
          <w:top w:val="nil"/>
          <w:left w:val="nil"/>
          <w:bottom w:val="nil"/>
          <w:right w:val="nil"/>
          <w:insideH w:val="nil"/>
          <w:insideV w:val="nil"/>
        </w:tcBorders>
        <w:shd w:color="auto" w:fill="000000" w:themeFill="text1" w:themeFillShade="BF" w:val="clear"/>
      </w:tcPr>
    </w:tblStylePr>
    <w:tblStylePr w:type="band1Horz">
      <w:tblPr/>
      <w:tcPr>
        <w:tcBorders>
          <w:top w:val="nil"/>
          <w:left w:val="nil"/>
          <w:bottom w:val="nil"/>
          <w:right w:val="nil"/>
          <w:insideH w:val="nil"/>
          <w:insideV w:val="nil"/>
        </w:tcBorders>
        <w:shd w:color="auto" w:fill="000000" w:themeFill="text1" w:themeFillShade="BF" w:val="clear"/>
      </w:tcPr>
    </w:tblStylePr>
  </w:style>
  <w:style w:styleId="DarkList-Accent1" w:type="table">
    <w:name w:val="Dark List Accent 1"/>
    <w:basedOn w:val="TableNormal"/>
    <w:uiPriority w:val="70"/>
    <w:rsid w:val="00CB0664"/>
    <w:pPr>
      <w:spacing w:after="0" w:line="240" w:lineRule="auto"/>
    </w:pPr>
    <w:rPr>
      <w:color w:themeColor="background1" w:val="FFFFFF"/>
    </w:rPr>
    <w:tblPr>
      <w:tblStyleRowBandSize w:val="1"/>
      <w:tblStyleColBandSize w:val="1"/>
    </w:tblPr>
    <w:tcPr>
      <w:shd w:color="auto" w:fill="4F81BD" w:themeFill="accent1"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243F60" w:themeFill="accent1" w:themeFillShade="7F" w:val="clear"/>
      </w:tcPr>
    </w:tblStylePr>
    <w:tblStylePr w:type="firstCol">
      <w:tblPr/>
      <w:tcPr>
        <w:tcBorders>
          <w:top w:val="nil"/>
          <w:left w:val="nil"/>
          <w:bottom w:val="nil"/>
          <w:right w:color="FFFFFF" w:space="0" w:sz="18" w:themeColor="background1" w:val="single"/>
          <w:insideH w:val="nil"/>
          <w:insideV w:val="nil"/>
        </w:tcBorders>
        <w:shd w:color="auto" w:fill="365F91" w:themeFill="accent1" w:themeFillShade="BF" w:val="clear"/>
      </w:tcPr>
    </w:tblStylePr>
    <w:tblStylePr w:type="lastCol">
      <w:tblPr/>
      <w:tcPr>
        <w:tcBorders>
          <w:top w:val="nil"/>
          <w:left w:color="FFFFFF" w:space="0" w:sz="18" w:themeColor="background1" w:val="single"/>
          <w:bottom w:val="nil"/>
          <w:right w:val="nil"/>
          <w:insideH w:val="nil"/>
          <w:insideV w:val="nil"/>
        </w:tcBorders>
        <w:shd w:color="auto" w:fill="365F91" w:themeFill="accent1" w:themeFillShade="BF" w:val="clear"/>
      </w:tcPr>
    </w:tblStylePr>
    <w:tblStylePr w:type="band1Vert">
      <w:tblPr/>
      <w:tcPr>
        <w:tcBorders>
          <w:top w:val="nil"/>
          <w:left w:val="nil"/>
          <w:bottom w:val="nil"/>
          <w:right w:val="nil"/>
          <w:insideH w:val="nil"/>
          <w:insideV w:val="nil"/>
        </w:tcBorders>
        <w:shd w:color="auto" w:fill="365F91" w:themeFill="accent1" w:themeFillShade="BF" w:val="clear"/>
      </w:tcPr>
    </w:tblStylePr>
    <w:tblStylePr w:type="band1Horz">
      <w:tblPr/>
      <w:tcPr>
        <w:tcBorders>
          <w:top w:val="nil"/>
          <w:left w:val="nil"/>
          <w:bottom w:val="nil"/>
          <w:right w:val="nil"/>
          <w:insideH w:val="nil"/>
          <w:insideV w:val="nil"/>
        </w:tcBorders>
        <w:shd w:color="auto" w:fill="365F91" w:themeFill="accent1" w:themeFillShade="BF" w:val="clear"/>
      </w:tcPr>
    </w:tblStylePr>
  </w:style>
  <w:style w:styleId="DarkList-Accent2" w:type="table">
    <w:name w:val="Dark List Accent 2"/>
    <w:basedOn w:val="TableNormal"/>
    <w:uiPriority w:val="70"/>
    <w:rsid w:val="00CB0664"/>
    <w:pPr>
      <w:spacing w:after="0" w:line="240" w:lineRule="auto"/>
    </w:pPr>
    <w:rPr>
      <w:color w:themeColor="background1" w:val="FFFFFF"/>
    </w:rPr>
    <w:tblPr>
      <w:tblStyleRowBandSize w:val="1"/>
      <w:tblStyleColBandSize w:val="1"/>
    </w:tblPr>
    <w:tcPr>
      <w:shd w:color="auto" w:fill="C0504D" w:themeFill="accent2"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622423" w:themeFill="accent2" w:themeFillShade="7F" w:val="clear"/>
      </w:tcPr>
    </w:tblStylePr>
    <w:tblStylePr w:type="firstCol">
      <w:tblPr/>
      <w:tcPr>
        <w:tcBorders>
          <w:top w:val="nil"/>
          <w:left w:val="nil"/>
          <w:bottom w:val="nil"/>
          <w:right w:color="FFFFFF" w:space="0" w:sz="18" w:themeColor="background1" w:val="single"/>
          <w:insideH w:val="nil"/>
          <w:insideV w:val="nil"/>
        </w:tcBorders>
        <w:shd w:color="auto" w:fill="943634" w:themeFill="accent2" w:themeFillShade="BF" w:val="clear"/>
      </w:tcPr>
    </w:tblStylePr>
    <w:tblStylePr w:type="lastCol">
      <w:tblPr/>
      <w:tcPr>
        <w:tcBorders>
          <w:top w:val="nil"/>
          <w:left w:color="FFFFFF" w:space="0" w:sz="18" w:themeColor="background1" w:val="single"/>
          <w:bottom w:val="nil"/>
          <w:right w:val="nil"/>
          <w:insideH w:val="nil"/>
          <w:insideV w:val="nil"/>
        </w:tcBorders>
        <w:shd w:color="auto" w:fill="943634" w:themeFill="accent2" w:themeFillShade="BF" w:val="clear"/>
      </w:tcPr>
    </w:tblStylePr>
    <w:tblStylePr w:type="band1Vert">
      <w:tblPr/>
      <w:tcPr>
        <w:tcBorders>
          <w:top w:val="nil"/>
          <w:left w:val="nil"/>
          <w:bottom w:val="nil"/>
          <w:right w:val="nil"/>
          <w:insideH w:val="nil"/>
          <w:insideV w:val="nil"/>
        </w:tcBorders>
        <w:shd w:color="auto" w:fill="943634" w:themeFill="accent2" w:themeFillShade="BF" w:val="clear"/>
      </w:tcPr>
    </w:tblStylePr>
    <w:tblStylePr w:type="band1Horz">
      <w:tblPr/>
      <w:tcPr>
        <w:tcBorders>
          <w:top w:val="nil"/>
          <w:left w:val="nil"/>
          <w:bottom w:val="nil"/>
          <w:right w:val="nil"/>
          <w:insideH w:val="nil"/>
          <w:insideV w:val="nil"/>
        </w:tcBorders>
        <w:shd w:color="auto" w:fill="943634" w:themeFill="accent2" w:themeFillShade="BF" w:val="clear"/>
      </w:tcPr>
    </w:tblStylePr>
  </w:style>
  <w:style w:styleId="DarkList-Accent3" w:type="table">
    <w:name w:val="Dark List Accent 3"/>
    <w:basedOn w:val="TableNormal"/>
    <w:uiPriority w:val="70"/>
    <w:rsid w:val="00CB0664"/>
    <w:pPr>
      <w:spacing w:after="0" w:line="240" w:lineRule="auto"/>
    </w:pPr>
    <w:rPr>
      <w:color w:themeColor="background1" w:val="FFFFFF"/>
    </w:rPr>
    <w:tblPr>
      <w:tblStyleRowBandSize w:val="1"/>
      <w:tblStyleColBandSize w:val="1"/>
    </w:tblPr>
    <w:tcPr>
      <w:shd w:color="auto" w:fill="9BBB59" w:themeFill="accent3"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4E6128" w:themeFill="accent3" w:themeFillShade="7F" w:val="clear"/>
      </w:tcPr>
    </w:tblStylePr>
    <w:tblStylePr w:type="firstCol">
      <w:tblPr/>
      <w:tcPr>
        <w:tcBorders>
          <w:top w:val="nil"/>
          <w:left w:val="nil"/>
          <w:bottom w:val="nil"/>
          <w:right w:color="FFFFFF" w:space="0" w:sz="18" w:themeColor="background1" w:val="single"/>
          <w:insideH w:val="nil"/>
          <w:insideV w:val="nil"/>
        </w:tcBorders>
        <w:shd w:color="auto" w:fill="76923C" w:themeFill="accent3" w:themeFillShade="BF" w:val="clear"/>
      </w:tcPr>
    </w:tblStylePr>
    <w:tblStylePr w:type="lastCol">
      <w:tblPr/>
      <w:tcPr>
        <w:tcBorders>
          <w:top w:val="nil"/>
          <w:left w:color="FFFFFF" w:space="0" w:sz="18" w:themeColor="background1" w:val="single"/>
          <w:bottom w:val="nil"/>
          <w:right w:val="nil"/>
          <w:insideH w:val="nil"/>
          <w:insideV w:val="nil"/>
        </w:tcBorders>
        <w:shd w:color="auto" w:fill="76923C" w:themeFill="accent3" w:themeFillShade="BF" w:val="clear"/>
      </w:tcPr>
    </w:tblStylePr>
    <w:tblStylePr w:type="band1Vert">
      <w:tblPr/>
      <w:tcPr>
        <w:tcBorders>
          <w:top w:val="nil"/>
          <w:left w:val="nil"/>
          <w:bottom w:val="nil"/>
          <w:right w:val="nil"/>
          <w:insideH w:val="nil"/>
          <w:insideV w:val="nil"/>
        </w:tcBorders>
        <w:shd w:color="auto" w:fill="76923C" w:themeFill="accent3" w:themeFillShade="BF" w:val="clear"/>
      </w:tcPr>
    </w:tblStylePr>
    <w:tblStylePr w:type="band1Horz">
      <w:tblPr/>
      <w:tcPr>
        <w:tcBorders>
          <w:top w:val="nil"/>
          <w:left w:val="nil"/>
          <w:bottom w:val="nil"/>
          <w:right w:val="nil"/>
          <w:insideH w:val="nil"/>
          <w:insideV w:val="nil"/>
        </w:tcBorders>
        <w:shd w:color="auto" w:fill="76923C" w:themeFill="accent3" w:themeFillShade="BF" w:val="clear"/>
      </w:tcPr>
    </w:tblStylePr>
  </w:style>
  <w:style w:styleId="DarkList-Accent4" w:type="table">
    <w:name w:val="Dark List Accent 4"/>
    <w:basedOn w:val="TableNormal"/>
    <w:uiPriority w:val="70"/>
    <w:rsid w:val="00CB0664"/>
    <w:pPr>
      <w:spacing w:after="0" w:line="240" w:lineRule="auto"/>
    </w:pPr>
    <w:rPr>
      <w:color w:themeColor="background1" w:val="FFFFFF"/>
    </w:rPr>
    <w:tblPr>
      <w:tblStyleRowBandSize w:val="1"/>
      <w:tblStyleColBandSize w:val="1"/>
    </w:tblPr>
    <w:tcPr>
      <w:shd w:color="auto" w:fill="8064A2" w:themeFill="accent4"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3F3151" w:themeFill="accent4" w:themeFillShade="7F" w:val="clear"/>
      </w:tcPr>
    </w:tblStylePr>
    <w:tblStylePr w:type="firstCol">
      <w:tblPr/>
      <w:tcPr>
        <w:tcBorders>
          <w:top w:val="nil"/>
          <w:left w:val="nil"/>
          <w:bottom w:val="nil"/>
          <w:right w:color="FFFFFF" w:space="0" w:sz="18" w:themeColor="background1" w:val="single"/>
          <w:insideH w:val="nil"/>
          <w:insideV w:val="nil"/>
        </w:tcBorders>
        <w:shd w:color="auto" w:fill="5F497A" w:themeFill="accent4" w:themeFillShade="BF" w:val="clear"/>
      </w:tcPr>
    </w:tblStylePr>
    <w:tblStylePr w:type="lastCol">
      <w:tblPr/>
      <w:tcPr>
        <w:tcBorders>
          <w:top w:val="nil"/>
          <w:left w:color="FFFFFF" w:space="0" w:sz="18" w:themeColor="background1" w:val="single"/>
          <w:bottom w:val="nil"/>
          <w:right w:val="nil"/>
          <w:insideH w:val="nil"/>
          <w:insideV w:val="nil"/>
        </w:tcBorders>
        <w:shd w:color="auto" w:fill="5F497A" w:themeFill="accent4" w:themeFillShade="BF" w:val="clear"/>
      </w:tcPr>
    </w:tblStylePr>
    <w:tblStylePr w:type="band1Vert">
      <w:tblPr/>
      <w:tcPr>
        <w:tcBorders>
          <w:top w:val="nil"/>
          <w:left w:val="nil"/>
          <w:bottom w:val="nil"/>
          <w:right w:val="nil"/>
          <w:insideH w:val="nil"/>
          <w:insideV w:val="nil"/>
        </w:tcBorders>
        <w:shd w:color="auto" w:fill="5F497A" w:themeFill="accent4" w:themeFillShade="BF" w:val="clear"/>
      </w:tcPr>
    </w:tblStylePr>
    <w:tblStylePr w:type="band1Horz">
      <w:tblPr/>
      <w:tcPr>
        <w:tcBorders>
          <w:top w:val="nil"/>
          <w:left w:val="nil"/>
          <w:bottom w:val="nil"/>
          <w:right w:val="nil"/>
          <w:insideH w:val="nil"/>
          <w:insideV w:val="nil"/>
        </w:tcBorders>
        <w:shd w:color="auto" w:fill="5F497A" w:themeFill="accent4" w:themeFillShade="BF" w:val="clear"/>
      </w:tcPr>
    </w:tblStylePr>
  </w:style>
  <w:style w:styleId="DarkList-Accent5" w:type="table">
    <w:name w:val="Dark List Accent 5"/>
    <w:basedOn w:val="TableNormal"/>
    <w:uiPriority w:val="70"/>
    <w:rsid w:val="00CB0664"/>
    <w:pPr>
      <w:spacing w:after="0" w:line="240" w:lineRule="auto"/>
    </w:pPr>
    <w:rPr>
      <w:color w:themeColor="background1" w:val="FFFFFF"/>
    </w:rPr>
    <w:tblPr>
      <w:tblStyleRowBandSize w:val="1"/>
      <w:tblStyleColBandSize w:val="1"/>
    </w:tblPr>
    <w:tcPr>
      <w:shd w:color="auto" w:fill="4BACC6" w:themeFill="accent5"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205867" w:themeFill="accent5" w:themeFillShade="7F" w:val="clear"/>
      </w:tcPr>
    </w:tblStylePr>
    <w:tblStylePr w:type="firstCol">
      <w:tblPr/>
      <w:tcPr>
        <w:tcBorders>
          <w:top w:val="nil"/>
          <w:left w:val="nil"/>
          <w:bottom w:val="nil"/>
          <w:right w:color="FFFFFF" w:space="0" w:sz="18" w:themeColor="background1" w:val="single"/>
          <w:insideH w:val="nil"/>
          <w:insideV w:val="nil"/>
        </w:tcBorders>
        <w:shd w:color="auto" w:fill="31849B" w:themeFill="accent5" w:themeFillShade="BF" w:val="clear"/>
      </w:tcPr>
    </w:tblStylePr>
    <w:tblStylePr w:type="lastCol">
      <w:tblPr/>
      <w:tcPr>
        <w:tcBorders>
          <w:top w:val="nil"/>
          <w:left w:color="FFFFFF" w:space="0" w:sz="18" w:themeColor="background1" w:val="single"/>
          <w:bottom w:val="nil"/>
          <w:right w:val="nil"/>
          <w:insideH w:val="nil"/>
          <w:insideV w:val="nil"/>
        </w:tcBorders>
        <w:shd w:color="auto" w:fill="31849B" w:themeFill="accent5" w:themeFillShade="BF" w:val="clear"/>
      </w:tcPr>
    </w:tblStylePr>
    <w:tblStylePr w:type="band1Vert">
      <w:tblPr/>
      <w:tcPr>
        <w:tcBorders>
          <w:top w:val="nil"/>
          <w:left w:val="nil"/>
          <w:bottom w:val="nil"/>
          <w:right w:val="nil"/>
          <w:insideH w:val="nil"/>
          <w:insideV w:val="nil"/>
        </w:tcBorders>
        <w:shd w:color="auto" w:fill="31849B" w:themeFill="accent5" w:themeFillShade="BF" w:val="clear"/>
      </w:tcPr>
    </w:tblStylePr>
    <w:tblStylePr w:type="band1Horz">
      <w:tblPr/>
      <w:tcPr>
        <w:tcBorders>
          <w:top w:val="nil"/>
          <w:left w:val="nil"/>
          <w:bottom w:val="nil"/>
          <w:right w:val="nil"/>
          <w:insideH w:val="nil"/>
          <w:insideV w:val="nil"/>
        </w:tcBorders>
        <w:shd w:color="auto" w:fill="31849B" w:themeFill="accent5" w:themeFillShade="BF" w:val="clear"/>
      </w:tcPr>
    </w:tblStylePr>
  </w:style>
  <w:style w:styleId="DarkList-Accent6" w:type="table">
    <w:name w:val="Dark List Accent 6"/>
    <w:basedOn w:val="TableNormal"/>
    <w:uiPriority w:val="70"/>
    <w:rsid w:val="00CB0664"/>
    <w:pPr>
      <w:spacing w:after="0" w:line="240" w:lineRule="auto"/>
    </w:pPr>
    <w:rPr>
      <w:color w:themeColor="background1" w:val="FFFFFF"/>
    </w:rPr>
    <w:tblPr>
      <w:tblStyleRowBandSize w:val="1"/>
      <w:tblStyleColBandSize w:val="1"/>
    </w:tblPr>
    <w:tcPr>
      <w:shd w:color="auto" w:fill="F79646" w:themeFill="accent6"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974706" w:themeFill="accent6" w:themeFillShade="7F" w:val="clear"/>
      </w:tcPr>
    </w:tblStylePr>
    <w:tblStylePr w:type="firstCol">
      <w:tblPr/>
      <w:tcPr>
        <w:tcBorders>
          <w:top w:val="nil"/>
          <w:left w:val="nil"/>
          <w:bottom w:val="nil"/>
          <w:right w:color="FFFFFF" w:space="0" w:sz="18" w:themeColor="background1" w:val="single"/>
          <w:insideH w:val="nil"/>
          <w:insideV w:val="nil"/>
        </w:tcBorders>
        <w:shd w:color="auto" w:fill="E36C0A" w:themeFill="accent6" w:themeFillShade="BF" w:val="clear"/>
      </w:tcPr>
    </w:tblStylePr>
    <w:tblStylePr w:type="lastCol">
      <w:tblPr/>
      <w:tcPr>
        <w:tcBorders>
          <w:top w:val="nil"/>
          <w:left w:color="FFFFFF" w:space="0" w:sz="18" w:themeColor="background1" w:val="single"/>
          <w:bottom w:val="nil"/>
          <w:right w:val="nil"/>
          <w:insideH w:val="nil"/>
          <w:insideV w:val="nil"/>
        </w:tcBorders>
        <w:shd w:color="auto" w:fill="E36C0A" w:themeFill="accent6" w:themeFillShade="BF" w:val="clear"/>
      </w:tcPr>
    </w:tblStylePr>
    <w:tblStylePr w:type="band1Vert">
      <w:tblPr/>
      <w:tcPr>
        <w:tcBorders>
          <w:top w:val="nil"/>
          <w:left w:val="nil"/>
          <w:bottom w:val="nil"/>
          <w:right w:val="nil"/>
          <w:insideH w:val="nil"/>
          <w:insideV w:val="nil"/>
        </w:tcBorders>
        <w:shd w:color="auto" w:fill="E36C0A" w:themeFill="accent6" w:themeFillShade="BF" w:val="clear"/>
      </w:tcPr>
    </w:tblStylePr>
    <w:tblStylePr w:type="band1Horz">
      <w:tblPr/>
      <w:tcPr>
        <w:tcBorders>
          <w:top w:val="nil"/>
          <w:left w:val="nil"/>
          <w:bottom w:val="nil"/>
          <w:right w:val="nil"/>
          <w:insideH w:val="nil"/>
          <w:insideV w:val="nil"/>
        </w:tcBorders>
        <w:shd w:color="auto" w:fill="E36C0A" w:themeFill="accent6" w:themeFillShade="BF" w:val="clear"/>
      </w:tcPr>
    </w:tblStylePr>
  </w:style>
  <w:style w:styleId="ColourfulShading" w:type="table">
    <w:name w:val="Colorful Shading"/>
    <w:basedOn w:val="TableNormal"/>
    <w:uiPriority w:val="71"/>
    <w:rsid w:val="00CB0664"/>
    <w:pPr>
      <w:spacing w:after="0" w:line="240" w:lineRule="auto"/>
    </w:pPr>
    <w:rPr>
      <w:color w:themeColor="text1" w:val="000000"/>
    </w:rPr>
    <w:tblPr>
      <w:tblStyleRowBandSize w:val="1"/>
      <w:tblStyleColBandSize w:val="1"/>
      <w:tblBorders>
        <w:top w:color="C0504D" w:space="0" w:sz="24" w:themeColor="accent2" w:val="single"/>
        <w:left w:color="000000" w:space="0" w:sz="4" w:themeColor="text1" w:val="single"/>
        <w:bottom w:color="000000" w:space="0" w:sz="4" w:themeColor="text1" w:val="single"/>
        <w:right w:color="000000" w:space="0" w:sz="4" w:themeColor="text1" w:val="single"/>
        <w:insideH w:color="FFFFFF" w:space="0" w:sz="4" w:themeColor="background1" w:val="single"/>
        <w:insideV w:color="FFFFFF" w:space="0" w:sz="4" w:themeColor="background1" w:val="single"/>
      </w:tblBorders>
    </w:tblPr>
    <w:tcPr>
      <w:shd w:color="auto" w:fill="E6E6E6" w:themeFill="text1" w:themeFillTint="19" w:val="clear"/>
    </w:tcPr>
    <w:tblStylePr w:type="firstRow">
      <w:rPr>
        <w:b/>
        <w:bCs/>
      </w:rPr>
      <w:tblPr/>
      <w:tcPr>
        <w:tcBorders>
          <w:top w:val="nil"/>
          <w:left w:val="nil"/>
          <w:bottom w:color="C0504D" w:space="0" w:sz="24" w:themeColor="accent2"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000000" w:themeFill="text1" w:themeFillShade="99" w:val="clear"/>
      </w:tcPr>
    </w:tblStylePr>
    <w:tblStylePr w:type="firstCol">
      <w:rPr>
        <w:color w:themeColor="background1" w:val="FFFFFF"/>
      </w:rPr>
      <w:tblPr/>
      <w:tcPr>
        <w:tcBorders>
          <w:top w:val="nil"/>
          <w:left w:val="nil"/>
          <w:bottom w:val="nil"/>
          <w:right w:val="nil"/>
          <w:insideH w:color="000000" w:space="0" w:sz="4" w:themeColor="text1" w:themeShade="99" w:val="single"/>
          <w:insideV w:val="nil"/>
        </w:tcBorders>
        <w:shd w:color="auto" w:fill="000000" w:themeFill="text1" w:themeFillShade="99" w:val="clear"/>
      </w:tcPr>
    </w:tblStylePr>
    <w:tblStylePr w:type="lastCol">
      <w:rPr>
        <w:color w:themeColor="background1" w:val="FFFFFF"/>
      </w:rPr>
      <w:tblPr/>
      <w:tcPr>
        <w:tcBorders>
          <w:top w:val="nil"/>
          <w:left w:val="nil"/>
          <w:bottom w:val="nil"/>
          <w:right w:val="nil"/>
          <w:insideH w:val="nil"/>
          <w:insideV w:val="nil"/>
        </w:tcBorders>
        <w:shd w:color="auto" w:fill="000000" w:themeFill="text1" w:themeFillShade="BF" w:val="clear"/>
      </w:tcPr>
    </w:tblStylePr>
    <w:tblStylePr w:type="band1Vert">
      <w:tblPr/>
      <w:tcPr>
        <w:shd w:color="auto" w:fill="999999" w:themeFill="text1" w:themeFillTint="66" w:val="clear"/>
      </w:tcPr>
    </w:tblStylePr>
    <w:tblStylePr w:type="band1Horz">
      <w:tblPr/>
      <w:tcPr>
        <w:shd w:color="auto" w:fill="808080" w:themeFill="text1" w:themeFillTint="7F" w:val="clear"/>
      </w:tcPr>
    </w:tblStylePr>
    <w:tblStylePr w:type="neCell">
      <w:rPr>
        <w:color w:themeColor="text1" w:val="000000"/>
      </w:rPr>
    </w:tblStylePr>
    <w:tblStylePr w:type="nwCell">
      <w:rPr>
        <w:color w:themeColor="text1" w:val="000000"/>
      </w:rPr>
    </w:tblStylePr>
  </w:style>
  <w:style w:styleId="ColourfulShadingAccent1" w:type="table">
    <w:name w:val="Colorful Shading Accent 1"/>
    <w:basedOn w:val="TableNormal"/>
    <w:uiPriority w:val="71"/>
    <w:rsid w:val="00CB0664"/>
    <w:pPr>
      <w:spacing w:after="0" w:line="240" w:lineRule="auto"/>
    </w:pPr>
    <w:rPr>
      <w:color w:themeColor="text1" w:val="000000"/>
    </w:rPr>
    <w:tblPr>
      <w:tblStyleRowBandSize w:val="1"/>
      <w:tblStyleColBandSize w:val="1"/>
      <w:tblBorders>
        <w:top w:color="C0504D" w:space="0" w:sz="24" w:themeColor="accent2" w:val="single"/>
        <w:left w:color="4F81BD" w:space="0" w:sz="4" w:themeColor="accent1" w:val="single"/>
        <w:bottom w:color="4F81BD" w:space="0" w:sz="4" w:themeColor="accent1" w:val="single"/>
        <w:right w:color="4F81BD" w:space="0" w:sz="4" w:themeColor="accent1" w:val="single"/>
        <w:insideH w:color="FFFFFF" w:space="0" w:sz="4" w:themeColor="background1" w:val="single"/>
        <w:insideV w:color="FFFFFF" w:space="0" w:sz="4" w:themeColor="background1" w:val="single"/>
      </w:tblBorders>
    </w:tblPr>
    <w:tcPr>
      <w:shd w:color="auto" w:fill="EDF2F8" w:themeFill="accent1" w:themeFillTint="19" w:val="clear"/>
    </w:tcPr>
    <w:tblStylePr w:type="firstRow">
      <w:rPr>
        <w:b/>
        <w:bCs/>
      </w:rPr>
      <w:tblPr/>
      <w:tcPr>
        <w:tcBorders>
          <w:top w:val="nil"/>
          <w:left w:val="nil"/>
          <w:bottom w:color="C0504D" w:space="0" w:sz="24" w:themeColor="accent2"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2C4C74" w:themeFill="accent1" w:themeFillShade="99" w:val="clear"/>
      </w:tcPr>
    </w:tblStylePr>
    <w:tblStylePr w:type="firstCol">
      <w:rPr>
        <w:color w:themeColor="background1" w:val="FFFFFF"/>
      </w:rPr>
      <w:tblPr/>
      <w:tcPr>
        <w:tcBorders>
          <w:top w:val="nil"/>
          <w:left w:val="nil"/>
          <w:bottom w:val="nil"/>
          <w:right w:val="nil"/>
          <w:insideH w:color="2C4C74" w:space="0" w:sz="4" w:themeColor="accent1" w:themeShade="99" w:val="single"/>
          <w:insideV w:val="nil"/>
        </w:tcBorders>
        <w:shd w:color="auto" w:fill="2C4C74" w:themeFill="accent1" w:themeFillShade="99" w:val="clear"/>
      </w:tcPr>
    </w:tblStylePr>
    <w:tblStylePr w:type="lastCol">
      <w:rPr>
        <w:color w:themeColor="background1" w:val="FFFFFF"/>
      </w:rPr>
      <w:tblPr/>
      <w:tcPr>
        <w:tcBorders>
          <w:top w:val="nil"/>
          <w:left w:val="nil"/>
          <w:bottom w:val="nil"/>
          <w:right w:val="nil"/>
          <w:insideH w:val="nil"/>
          <w:insideV w:val="nil"/>
        </w:tcBorders>
        <w:shd w:color="auto" w:fill="2C4C74" w:themeFill="accent1" w:themeFillShade="99" w:val="clear"/>
      </w:tcPr>
    </w:tblStylePr>
    <w:tblStylePr w:type="band1Vert">
      <w:tblPr/>
      <w:tcPr>
        <w:shd w:color="auto" w:fill="B8CCE4" w:themeFill="accent1" w:themeFillTint="66" w:val="clear"/>
      </w:tcPr>
    </w:tblStylePr>
    <w:tblStylePr w:type="band1Horz">
      <w:tblPr/>
      <w:tcPr>
        <w:shd w:color="auto" w:fill="A7BFDE" w:themeFill="accent1" w:themeFillTint="7F" w:val="clear"/>
      </w:tcPr>
    </w:tblStylePr>
    <w:tblStylePr w:type="neCell">
      <w:rPr>
        <w:color w:themeColor="text1" w:val="000000"/>
      </w:rPr>
    </w:tblStylePr>
    <w:tblStylePr w:type="nwCell">
      <w:rPr>
        <w:color w:themeColor="text1" w:val="000000"/>
      </w:rPr>
    </w:tblStylePr>
  </w:style>
  <w:style w:styleId="ColourfulShadingAccent2" w:type="table">
    <w:name w:val="Colorful Shading Accent 2"/>
    <w:basedOn w:val="TableNormal"/>
    <w:uiPriority w:val="71"/>
    <w:rsid w:val="00CB0664"/>
    <w:pPr>
      <w:spacing w:after="0" w:line="240" w:lineRule="auto"/>
    </w:pPr>
    <w:rPr>
      <w:color w:themeColor="text1" w:val="000000"/>
    </w:rPr>
    <w:tblPr>
      <w:tblStyleRowBandSize w:val="1"/>
      <w:tblStyleColBandSize w:val="1"/>
      <w:tblBorders>
        <w:top w:color="C0504D" w:space="0" w:sz="24" w:themeColor="accent2" w:val="single"/>
        <w:left w:color="C0504D" w:space="0" w:sz="4" w:themeColor="accent2" w:val="single"/>
        <w:bottom w:color="C0504D" w:space="0" w:sz="4" w:themeColor="accent2" w:val="single"/>
        <w:right w:color="C0504D" w:space="0" w:sz="4" w:themeColor="accent2" w:val="single"/>
        <w:insideH w:color="FFFFFF" w:space="0" w:sz="4" w:themeColor="background1" w:val="single"/>
        <w:insideV w:color="FFFFFF" w:space="0" w:sz="4" w:themeColor="background1" w:val="single"/>
      </w:tblBorders>
    </w:tblPr>
    <w:tcPr>
      <w:shd w:color="auto" w:fill="F8EDED" w:themeFill="accent2" w:themeFillTint="19" w:val="clear"/>
    </w:tcPr>
    <w:tblStylePr w:type="firstRow">
      <w:rPr>
        <w:b/>
        <w:bCs/>
      </w:rPr>
      <w:tblPr/>
      <w:tcPr>
        <w:tcBorders>
          <w:top w:val="nil"/>
          <w:left w:val="nil"/>
          <w:bottom w:color="C0504D" w:space="0" w:sz="24" w:themeColor="accent2"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772C2A" w:themeFill="accent2" w:themeFillShade="99" w:val="clear"/>
      </w:tcPr>
    </w:tblStylePr>
    <w:tblStylePr w:type="firstCol">
      <w:rPr>
        <w:color w:themeColor="background1" w:val="FFFFFF"/>
      </w:rPr>
      <w:tblPr/>
      <w:tcPr>
        <w:tcBorders>
          <w:top w:val="nil"/>
          <w:left w:val="nil"/>
          <w:bottom w:val="nil"/>
          <w:right w:val="nil"/>
          <w:insideH w:color="772C2A" w:space="0" w:sz="4" w:themeColor="accent2" w:themeShade="99" w:val="single"/>
          <w:insideV w:val="nil"/>
        </w:tcBorders>
        <w:shd w:color="auto" w:fill="772C2A" w:themeFill="accent2" w:themeFillShade="99" w:val="clear"/>
      </w:tcPr>
    </w:tblStylePr>
    <w:tblStylePr w:type="lastCol">
      <w:rPr>
        <w:color w:themeColor="background1" w:val="FFFFFF"/>
      </w:rPr>
      <w:tblPr/>
      <w:tcPr>
        <w:tcBorders>
          <w:top w:val="nil"/>
          <w:left w:val="nil"/>
          <w:bottom w:val="nil"/>
          <w:right w:val="nil"/>
          <w:insideH w:val="nil"/>
          <w:insideV w:val="nil"/>
        </w:tcBorders>
        <w:shd w:color="auto" w:fill="772C2A" w:themeFill="accent2" w:themeFillShade="99" w:val="clear"/>
      </w:tcPr>
    </w:tblStylePr>
    <w:tblStylePr w:type="band1Vert">
      <w:tblPr/>
      <w:tcPr>
        <w:shd w:color="auto" w:fill="E5B8B7" w:themeFill="accent2" w:themeFillTint="66" w:val="clear"/>
      </w:tcPr>
    </w:tblStylePr>
    <w:tblStylePr w:type="band1Horz">
      <w:tblPr/>
      <w:tcPr>
        <w:shd w:color="auto" w:fill="DFA7A6" w:themeFill="accent2" w:themeFillTint="7F" w:val="clear"/>
      </w:tcPr>
    </w:tblStylePr>
    <w:tblStylePr w:type="neCell">
      <w:rPr>
        <w:color w:themeColor="text1" w:val="000000"/>
      </w:rPr>
    </w:tblStylePr>
    <w:tblStylePr w:type="nwCell">
      <w:rPr>
        <w:color w:themeColor="text1" w:val="000000"/>
      </w:rPr>
    </w:tblStylePr>
  </w:style>
  <w:style w:styleId="ColourfulShadingAccent3" w:type="table">
    <w:name w:val="Colorful Shading Accent 3"/>
    <w:basedOn w:val="TableNormal"/>
    <w:uiPriority w:val="71"/>
    <w:rsid w:val="00CB0664"/>
    <w:pPr>
      <w:spacing w:after="0" w:line="240" w:lineRule="auto"/>
    </w:pPr>
    <w:rPr>
      <w:color w:themeColor="text1" w:val="000000"/>
    </w:rPr>
    <w:tblPr>
      <w:tblStyleRowBandSize w:val="1"/>
      <w:tblStyleColBandSize w:val="1"/>
      <w:tblBorders>
        <w:top w:color="8064A2" w:space="0" w:sz="24" w:themeColor="accent4" w:val="single"/>
        <w:left w:color="9BBB59" w:space="0" w:sz="4" w:themeColor="accent3" w:val="single"/>
        <w:bottom w:color="9BBB59" w:space="0" w:sz="4" w:themeColor="accent3" w:val="single"/>
        <w:right w:color="9BBB59" w:space="0" w:sz="4" w:themeColor="accent3" w:val="single"/>
        <w:insideH w:color="FFFFFF" w:space="0" w:sz="4" w:themeColor="background1" w:val="single"/>
        <w:insideV w:color="FFFFFF" w:space="0" w:sz="4" w:themeColor="background1" w:val="single"/>
      </w:tblBorders>
    </w:tblPr>
    <w:tcPr>
      <w:shd w:color="auto" w:fill="F5F8EE" w:themeFill="accent3" w:themeFillTint="19" w:val="clear"/>
    </w:tcPr>
    <w:tblStylePr w:type="firstRow">
      <w:rPr>
        <w:b/>
        <w:bCs/>
      </w:rPr>
      <w:tblPr/>
      <w:tcPr>
        <w:tcBorders>
          <w:top w:val="nil"/>
          <w:left w:val="nil"/>
          <w:bottom w:color="8064A2" w:space="0" w:sz="24" w:themeColor="accent4"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5E7530" w:themeFill="accent3" w:themeFillShade="99" w:val="clear"/>
      </w:tcPr>
    </w:tblStylePr>
    <w:tblStylePr w:type="firstCol">
      <w:rPr>
        <w:color w:themeColor="background1" w:val="FFFFFF"/>
      </w:rPr>
      <w:tblPr/>
      <w:tcPr>
        <w:tcBorders>
          <w:top w:val="nil"/>
          <w:left w:val="nil"/>
          <w:bottom w:val="nil"/>
          <w:right w:val="nil"/>
          <w:insideH w:color="5E7530" w:space="0" w:sz="4" w:themeColor="accent3" w:themeShade="99" w:val="single"/>
          <w:insideV w:val="nil"/>
        </w:tcBorders>
        <w:shd w:color="auto" w:fill="5E7530" w:themeFill="accent3" w:themeFillShade="99" w:val="clear"/>
      </w:tcPr>
    </w:tblStylePr>
    <w:tblStylePr w:type="lastCol">
      <w:rPr>
        <w:color w:themeColor="background1" w:val="FFFFFF"/>
      </w:rPr>
      <w:tblPr/>
      <w:tcPr>
        <w:tcBorders>
          <w:top w:val="nil"/>
          <w:left w:val="nil"/>
          <w:bottom w:val="nil"/>
          <w:right w:val="nil"/>
          <w:insideH w:val="nil"/>
          <w:insideV w:val="nil"/>
        </w:tcBorders>
        <w:shd w:color="auto" w:fill="5E7530" w:themeFill="accent3" w:themeFillShade="99" w:val="clear"/>
      </w:tcPr>
    </w:tblStylePr>
    <w:tblStylePr w:type="band1Vert">
      <w:tblPr/>
      <w:tcPr>
        <w:shd w:color="auto" w:fill="D6E3BC" w:themeFill="accent3" w:themeFillTint="66" w:val="clear"/>
      </w:tcPr>
    </w:tblStylePr>
    <w:tblStylePr w:type="band1Horz">
      <w:tblPr/>
      <w:tcPr>
        <w:shd w:color="auto" w:fill="CDDDAC" w:themeFill="accent3" w:themeFillTint="7F" w:val="clear"/>
      </w:tcPr>
    </w:tblStylePr>
  </w:style>
  <w:style w:styleId="ColourfulShadingAccent4" w:type="table">
    <w:name w:val="Colorful Shading Accent 4"/>
    <w:basedOn w:val="TableNormal"/>
    <w:uiPriority w:val="71"/>
    <w:rsid w:val="00CB0664"/>
    <w:pPr>
      <w:spacing w:after="0" w:line="240" w:lineRule="auto"/>
    </w:pPr>
    <w:rPr>
      <w:color w:themeColor="text1" w:val="000000"/>
    </w:rPr>
    <w:tblPr>
      <w:tblStyleRowBandSize w:val="1"/>
      <w:tblStyleColBandSize w:val="1"/>
      <w:tblBorders>
        <w:top w:color="9BBB59" w:space="0" w:sz="24" w:themeColor="accent3" w:val="single"/>
        <w:left w:color="8064A2" w:space="0" w:sz="4" w:themeColor="accent4" w:val="single"/>
        <w:bottom w:color="8064A2" w:space="0" w:sz="4" w:themeColor="accent4" w:val="single"/>
        <w:right w:color="8064A2" w:space="0" w:sz="4" w:themeColor="accent4" w:val="single"/>
        <w:insideH w:color="FFFFFF" w:space="0" w:sz="4" w:themeColor="background1" w:val="single"/>
        <w:insideV w:color="FFFFFF" w:space="0" w:sz="4" w:themeColor="background1" w:val="single"/>
      </w:tblBorders>
    </w:tblPr>
    <w:tcPr>
      <w:shd w:color="auto" w:fill="F2EFF6" w:themeFill="accent4" w:themeFillTint="19" w:val="clear"/>
    </w:tcPr>
    <w:tblStylePr w:type="firstRow">
      <w:rPr>
        <w:b/>
        <w:bCs/>
      </w:rPr>
      <w:tblPr/>
      <w:tcPr>
        <w:tcBorders>
          <w:top w:val="nil"/>
          <w:left w:val="nil"/>
          <w:bottom w:color="9BBB59" w:space="0" w:sz="24" w:themeColor="accent3"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4C3B62" w:themeFill="accent4" w:themeFillShade="99" w:val="clear"/>
      </w:tcPr>
    </w:tblStylePr>
    <w:tblStylePr w:type="firstCol">
      <w:rPr>
        <w:color w:themeColor="background1" w:val="FFFFFF"/>
      </w:rPr>
      <w:tblPr/>
      <w:tcPr>
        <w:tcBorders>
          <w:top w:val="nil"/>
          <w:left w:val="nil"/>
          <w:bottom w:val="nil"/>
          <w:right w:val="nil"/>
          <w:insideH w:color="4C3B62" w:space="0" w:sz="4" w:themeColor="accent4" w:themeShade="99" w:val="single"/>
          <w:insideV w:val="nil"/>
        </w:tcBorders>
        <w:shd w:color="auto" w:fill="4C3B62" w:themeFill="accent4" w:themeFillShade="99" w:val="clear"/>
      </w:tcPr>
    </w:tblStylePr>
    <w:tblStylePr w:type="lastCol">
      <w:rPr>
        <w:color w:themeColor="background1" w:val="FFFFFF"/>
      </w:rPr>
      <w:tblPr/>
      <w:tcPr>
        <w:tcBorders>
          <w:top w:val="nil"/>
          <w:left w:val="nil"/>
          <w:bottom w:val="nil"/>
          <w:right w:val="nil"/>
          <w:insideH w:val="nil"/>
          <w:insideV w:val="nil"/>
        </w:tcBorders>
        <w:shd w:color="auto" w:fill="4C3B62" w:themeFill="accent4" w:themeFillShade="99" w:val="clear"/>
      </w:tcPr>
    </w:tblStylePr>
    <w:tblStylePr w:type="band1Vert">
      <w:tblPr/>
      <w:tcPr>
        <w:shd w:color="auto" w:fill="CCC0D9" w:themeFill="accent4" w:themeFillTint="66" w:val="clear"/>
      </w:tcPr>
    </w:tblStylePr>
    <w:tblStylePr w:type="band1Horz">
      <w:tblPr/>
      <w:tcPr>
        <w:shd w:color="auto" w:fill="BFB1D0" w:themeFill="accent4" w:themeFillTint="7F" w:val="clear"/>
      </w:tcPr>
    </w:tblStylePr>
    <w:tblStylePr w:type="neCell">
      <w:rPr>
        <w:color w:themeColor="text1" w:val="000000"/>
      </w:rPr>
    </w:tblStylePr>
    <w:tblStylePr w:type="nwCell">
      <w:rPr>
        <w:color w:themeColor="text1" w:val="000000"/>
      </w:rPr>
    </w:tblStylePr>
  </w:style>
  <w:style w:styleId="ColourfulShadingAccent5" w:type="table">
    <w:name w:val="Colorful Shading Accent 5"/>
    <w:basedOn w:val="TableNormal"/>
    <w:uiPriority w:val="71"/>
    <w:rsid w:val="00CB0664"/>
    <w:pPr>
      <w:spacing w:after="0" w:line="240" w:lineRule="auto"/>
    </w:pPr>
    <w:rPr>
      <w:color w:themeColor="text1" w:val="000000"/>
    </w:rPr>
    <w:tblPr>
      <w:tblStyleRowBandSize w:val="1"/>
      <w:tblStyleColBandSize w:val="1"/>
      <w:tblBorders>
        <w:top w:color="F79646" w:space="0" w:sz="24" w:themeColor="accent6" w:val="single"/>
        <w:left w:color="4BACC6" w:space="0" w:sz="4" w:themeColor="accent5" w:val="single"/>
        <w:bottom w:color="4BACC6" w:space="0" w:sz="4" w:themeColor="accent5" w:val="single"/>
        <w:right w:color="4BACC6" w:space="0" w:sz="4" w:themeColor="accent5" w:val="single"/>
        <w:insideH w:color="FFFFFF" w:space="0" w:sz="4" w:themeColor="background1" w:val="single"/>
        <w:insideV w:color="FFFFFF" w:space="0" w:sz="4" w:themeColor="background1" w:val="single"/>
      </w:tblBorders>
    </w:tblPr>
    <w:tcPr>
      <w:shd w:color="auto" w:fill="EDF6F9" w:themeFill="accent5" w:themeFillTint="19" w:val="clear"/>
    </w:tcPr>
    <w:tblStylePr w:type="firstRow">
      <w:rPr>
        <w:b/>
        <w:bCs/>
      </w:rPr>
      <w:tblPr/>
      <w:tcPr>
        <w:tcBorders>
          <w:top w:val="nil"/>
          <w:left w:val="nil"/>
          <w:bottom w:color="F79646" w:space="0" w:sz="24" w:themeColor="accent6"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276A7C" w:themeFill="accent5" w:themeFillShade="99" w:val="clear"/>
      </w:tcPr>
    </w:tblStylePr>
    <w:tblStylePr w:type="firstCol">
      <w:rPr>
        <w:color w:themeColor="background1" w:val="FFFFFF"/>
      </w:rPr>
      <w:tblPr/>
      <w:tcPr>
        <w:tcBorders>
          <w:top w:val="nil"/>
          <w:left w:val="nil"/>
          <w:bottom w:val="nil"/>
          <w:right w:val="nil"/>
          <w:insideH w:color="276A7C" w:space="0" w:sz="4" w:themeColor="accent5" w:themeShade="99" w:val="single"/>
          <w:insideV w:val="nil"/>
        </w:tcBorders>
        <w:shd w:color="auto" w:fill="276A7C" w:themeFill="accent5" w:themeFillShade="99" w:val="clear"/>
      </w:tcPr>
    </w:tblStylePr>
    <w:tblStylePr w:type="lastCol">
      <w:rPr>
        <w:color w:themeColor="background1" w:val="FFFFFF"/>
      </w:rPr>
      <w:tblPr/>
      <w:tcPr>
        <w:tcBorders>
          <w:top w:val="nil"/>
          <w:left w:val="nil"/>
          <w:bottom w:val="nil"/>
          <w:right w:val="nil"/>
          <w:insideH w:val="nil"/>
          <w:insideV w:val="nil"/>
        </w:tcBorders>
        <w:shd w:color="auto" w:fill="276A7C" w:themeFill="accent5" w:themeFillShade="99" w:val="clear"/>
      </w:tcPr>
    </w:tblStylePr>
    <w:tblStylePr w:type="band1Vert">
      <w:tblPr/>
      <w:tcPr>
        <w:shd w:color="auto" w:fill="B6DDE8" w:themeFill="accent5" w:themeFillTint="66" w:val="clear"/>
      </w:tcPr>
    </w:tblStylePr>
    <w:tblStylePr w:type="band1Horz">
      <w:tblPr/>
      <w:tcPr>
        <w:shd w:color="auto" w:fill="A5D5E2" w:themeFill="accent5" w:themeFillTint="7F" w:val="clear"/>
      </w:tcPr>
    </w:tblStylePr>
    <w:tblStylePr w:type="neCell">
      <w:rPr>
        <w:color w:themeColor="text1" w:val="000000"/>
      </w:rPr>
    </w:tblStylePr>
    <w:tblStylePr w:type="nwCell">
      <w:rPr>
        <w:color w:themeColor="text1" w:val="000000"/>
      </w:rPr>
    </w:tblStylePr>
  </w:style>
  <w:style w:styleId="ColourfulShadingAccent6" w:type="table">
    <w:name w:val="Colorful Shading Accent 6"/>
    <w:basedOn w:val="TableNormal"/>
    <w:uiPriority w:val="71"/>
    <w:rsid w:val="00CB0664"/>
    <w:pPr>
      <w:spacing w:after="0" w:line="240" w:lineRule="auto"/>
    </w:pPr>
    <w:rPr>
      <w:color w:themeColor="text1" w:val="000000"/>
    </w:rPr>
    <w:tblPr>
      <w:tblStyleRowBandSize w:val="1"/>
      <w:tblStyleColBandSize w:val="1"/>
      <w:tblBorders>
        <w:top w:color="4BACC6" w:space="0" w:sz="24" w:themeColor="accent5" w:val="single"/>
        <w:left w:color="F79646" w:space="0" w:sz="4" w:themeColor="accent6" w:val="single"/>
        <w:bottom w:color="F79646" w:space="0" w:sz="4" w:themeColor="accent6" w:val="single"/>
        <w:right w:color="F79646" w:space="0" w:sz="4" w:themeColor="accent6" w:val="single"/>
        <w:insideH w:color="FFFFFF" w:space="0" w:sz="4" w:themeColor="background1" w:val="single"/>
        <w:insideV w:color="FFFFFF" w:space="0" w:sz="4" w:themeColor="background1" w:val="single"/>
      </w:tblBorders>
    </w:tblPr>
    <w:tcPr>
      <w:shd w:color="auto" w:fill="FEF4EC" w:themeFill="accent6" w:themeFillTint="19" w:val="clear"/>
    </w:tcPr>
    <w:tblStylePr w:type="firstRow">
      <w:rPr>
        <w:b/>
        <w:bCs/>
      </w:rPr>
      <w:tblPr/>
      <w:tcPr>
        <w:tcBorders>
          <w:top w:val="nil"/>
          <w:left w:val="nil"/>
          <w:bottom w:color="4BACC6" w:space="0" w:sz="24" w:themeColor="accent5"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B65608" w:themeFill="accent6" w:themeFillShade="99" w:val="clear"/>
      </w:tcPr>
    </w:tblStylePr>
    <w:tblStylePr w:type="firstCol">
      <w:rPr>
        <w:color w:themeColor="background1" w:val="FFFFFF"/>
      </w:rPr>
      <w:tblPr/>
      <w:tcPr>
        <w:tcBorders>
          <w:top w:val="nil"/>
          <w:left w:val="nil"/>
          <w:bottom w:val="nil"/>
          <w:right w:val="nil"/>
          <w:insideH w:color="B65608" w:space="0" w:sz="4" w:themeColor="accent6" w:themeShade="99" w:val="single"/>
          <w:insideV w:val="nil"/>
        </w:tcBorders>
        <w:shd w:color="auto" w:fill="B65608" w:themeFill="accent6" w:themeFillShade="99" w:val="clear"/>
      </w:tcPr>
    </w:tblStylePr>
    <w:tblStylePr w:type="lastCol">
      <w:rPr>
        <w:color w:themeColor="background1" w:val="FFFFFF"/>
      </w:rPr>
      <w:tblPr/>
      <w:tcPr>
        <w:tcBorders>
          <w:top w:val="nil"/>
          <w:left w:val="nil"/>
          <w:bottom w:val="nil"/>
          <w:right w:val="nil"/>
          <w:insideH w:val="nil"/>
          <w:insideV w:val="nil"/>
        </w:tcBorders>
        <w:shd w:color="auto" w:fill="B65608" w:themeFill="accent6" w:themeFillShade="99" w:val="clear"/>
      </w:tcPr>
    </w:tblStylePr>
    <w:tblStylePr w:type="band1Vert">
      <w:tblPr/>
      <w:tcPr>
        <w:shd w:color="auto" w:fill="FBD4B4" w:themeFill="accent6" w:themeFillTint="66" w:val="clear"/>
      </w:tcPr>
    </w:tblStylePr>
    <w:tblStylePr w:type="band1Horz">
      <w:tblPr/>
      <w:tcPr>
        <w:shd w:color="auto" w:fill="FBCAA2" w:themeFill="accent6" w:themeFillTint="7F" w:val="clear"/>
      </w:tcPr>
    </w:tblStylePr>
    <w:tblStylePr w:type="neCell">
      <w:rPr>
        <w:color w:themeColor="text1" w:val="000000"/>
      </w:rPr>
    </w:tblStylePr>
    <w:tblStylePr w:type="nwCell">
      <w:rPr>
        <w:color w:themeColor="text1" w:val="000000"/>
      </w:rPr>
    </w:tblStylePr>
  </w:style>
  <w:style w:styleId="ColourfulList" w:type="table">
    <w:name w:val="Colorful List"/>
    <w:basedOn w:val="TableNormal"/>
    <w:uiPriority w:val="72"/>
    <w:rsid w:val="00CB0664"/>
    <w:pPr>
      <w:spacing w:after="0" w:line="240" w:lineRule="auto"/>
    </w:pPr>
    <w:rPr>
      <w:color w:themeColor="text1" w:val="000000"/>
    </w:rPr>
    <w:tblPr>
      <w:tblStyleRowBandSize w:val="1"/>
      <w:tblStyleColBandSize w:val="1"/>
    </w:tblPr>
    <w:tcPr>
      <w:shd w:color="auto" w:fill="E6E6E6" w:themeFill="text1" w:themeFillTint="19" w:val="clear"/>
    </w:tcPr>
    <w:tblStylePr w:type="firstRow">
      <w:rPr>
        <w:b/>
        <w:bCs/>
        <w:color w:themeColor="background1" w:val="FFFFFF"/>
      </w:rPr>
      <w:tblPr/>
      <w:tcPr>
        <w:tcBorders>
          <w:bottom w:color="FFFFFF" w:space="0" w:sz="12" w:themeColor="background1" w:val="single"/>
        </w:tcBorders>
        <w:shd w:color="auto" w:fill="9E3A38" w:themeFill="accent2" w:themeFillShade="CC" w:val="clear"/>
      </w:tcPr>
    </w:tblStylePr>
    <w:tblStylePr w:type="lastRow">
      <w:rPr>
        <w:b/>
        <w:bCs/>
        <w:color w:themeColor="accent2" w:themeShade="CC" w:val="9E3A38"/>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C0C0C0" w:themeFill="text1" w:themeFillTint="3F" w:val="clear"/>
      </w:tcPr>
    </w:tblStylePr>
    <w:tblStylePr w:type="band1Horz">
      <w:tblPr/>
      <w:tcPr>
        <w:shd w:color="auto" w:fill="CCCCCC" w:themeFill="text1" w:themeFillTint="33" w:val="clear"/>
      </w:tcPr>
    </w:tblStylePr>
  </w:style>
  <w:style w:styleId="ColourfulListAccent1" w:type="table">
    <w:name w:val="Colorful List Accent 1"/>
    <w:basedOn w:val="TableNormal"/>
    <w:uiPriority w:val="72"/>
    <w:rsid w:val="00CB0664"/>
    <w:pPr>
      <w:spacing w:after="0" w:line="240" w:lineRule="auto"/>
    </w:pPr>
    <w:rPr>
      <w:color w:themeColor="text1" w:val="000000"/>
    </w:rPr>
    <w:tblPr>
      <w:tblStyleRowBandSize w:val="1"/>
      <w:tblStyleColBandSize w:val="1"/>
    </w:tblPr>
    <w:tcPr>
      <w:shd w:color="auto" w:fill="EDF2F8" w:themeFill="accent1" w:themeFillTint="19" w:val="clear"/>
    </w:tcPr>
    <w:tblStylePr w:type="firstRow">
      <w:rPr>
        <w:b/>
        <w:bCs/>
        <w:color w:themeColor="background1" w:val="FFFFFF"/>
      </w:rPr>
      <w:tblPr/>
      <w:tcPr>
        <w:tcBorders>
          <w:bottom w:color="FFFFFF" w:space="0" w:sz="12" w:themeColor="background1" w:val="single"/>
        </w:tcBorders>
        <w:shd w:color="auto" w:fill="9E3A38" w:themeFill="accent2" w:themeFillShade="CC" w:val="clear"/>
      </w:tcPr>
    </w:tblStylePr>
    <w:tblStylePr w:type="lastRow">
      <w:rPr>
        <w:b/>
        <w:bCs/>
        <w:color w:themeColor="accent2" w:themeShade="CC" w:val="9E3A38"/>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D3DFEE" w:themeFill="accent1" w:themeFillTint="3F" w:val="clear"/>
      </w:tcPr>
    </w:tblStylePr>
    <w:tblStylePr w:type="band1Horz">
      <w:tblPr/>
      <w:tcPr>
        <w:shd w:color="auto" w:fill="DBE5F1" w:themeFill="accent1" w:themeFillTint="33" w:val="clear"/>
      </w:tcPr>
    </w:tblStylePr>
  </w:style>
  <w:style w:styleId="ColourfulListAccent2" w:type="table">
    <w:name w:val="Colorful List Accent 2"/>
    <w:basedOn w:val="TableNormal"/>
    <w:uiPriority w:val="72"/>
    <w:rsid w:val="00CB0664"/>
    <w:pPr>
      <w:spacing w:after="0" w:line="240" w:lineRule="auto"/>
    </w:pPr>
    <w:rPr>
      <w:color w:themeColor="text1" w:val="000000"/>
    </w:rPr>
    <w:tblPr>
      <w:tblStyleRowBandSize w:val="1"/>
      <w:tblStyleColBandSize w:val="1"/>
    </w:tblPr>
    <w:tcPr>
      <w:shd w:color="auto" w:fill="F8EDED" w:themeFill="accent2" w:themeFillTint="19" w:val="clear"/>
    </w:tcPr>
    <w:tblStylePr w:type="firstRow">
      <w:rPr>
        <w:b/>
        <w:bCs/>
        <w:color w:themeColor="background1" w:val="FFFFFF"/>
      </w:rPr>
      <w:tblPr/>
      <w:tcPr>
        <w:tcBorders>
          <w:bottom w:color="FFFFFF" w:space="0" w:sz="12" w:themeColor="background1" w:val="single"/>
        </w:tcBorders>
        <w:shd w:color="auto" w:fill="9E3A38" w:themeFill="accent2" w:themeFillShade="CC" w:val="clear"/>
      </w:tcPr>
    </w:tblStylePr>
    <w:tblStylePr w:type="lastRow">
      <w:rPr>
        <w:b/>
        <w:bCs/>
        <w:color w:themeColor="accent2" w:themeShade="CC" w:val="9E3A38"/>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EFD3D2" w:themeFill="accent2" w:themeFillTint="3F" w:val="clear"/>
      </w:tcPr>
    </w:tblStylePr>
    <w:tblStylePr w:type="band1Horz">
      <w:tblPr/>
      <w:tcPr>
        <w:shd w:color="auto" w:fill="F2DBDB" w:themeFill="accent2" w:themeFillTint="33" w:val="clear"/>
      </w:tcPr>
    </w:tblStylePr>
  </w:style>
  <w:style w:styleId="ColourfulListAccent3" w:type="table">
    <w:name w:val="Colorful List Accent 3"/>
    <w:basedOn w:val="TableNormal"/>
    <w:uiPriority w:val="72"/>
    <w:rsid w:val="00CB0664"/>
    <w:pPr>
      <w:spacing w:after="0" w:line="240" w:lineRule="auto"/>
    </w:pPr>
    <w:rPr>
      <w:color w:themeColor="text1" w:val="000000"/>
    </w:rPr>
    <w:tblPr>
      <w:tblStyleRowBandSize w:val="1"/>
      <w:tblStyleColBandSize w:val="1"/>
    </w:tblPr>
    <w:tcPr>
      <w:shd w:color="auto" w:fill="F5F8EE" w:themeFill="accent3" w:themeFillTint="19" w:val="clear"/>
    </w:tcPr>
    <w:tblStylePr w:type="firstRow">
      <w:rPr>
        <w:b/>
        <w:bCs/>
        <w:color w:themeColor="background1" w:val="FFFFFF"/>
      </w:rPr>
      <w:tblPr/>
      <w:tcPr>
        <w:tcBorders>
          <w:bottom w:color="FFFFFF" w:space="0" w:sz="12" w:themeColor="background1" w:val="single"/>
        </w:tcBorders>
        <w:shd w:color="auto" w:fill="664E82" w:themeFill="accent4" w:themeFillShade="CC" w:val="clear"/>
      </w:tcPr>
    </w:tblStylePr>
    <w:tblStylePr w:type="lastRow">
      <w:rPr>
        <w:b/>
        <w:bCs/>
        <w:color w:themeColor="accent4" w:themeShade="CC" w:val="664E82"/>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E6EED5" w:themeFill="accent3" w:themeFillTint="3F" w:val="clear"/>
      </w:tcPr>
    </w:tblStylePr>
    <w:tblStylePr w:type="band1Horz">
      <w:tblPr/>
      <w:tcPr>
        <w:shd w:color="auto" w:fill="EAF1DD" w:themeFill="accent3" w:themeFillTint="33" w:val="clear"/>
      </w:tcPr>
    </w:tblStylePr>
  </w:style>
  <w:style w:styleId="ColourfulListAccent4" w:type="table">
    <w:name w:val="Colorful List Accent 4"/>
    <w:basedOn w:val="TableNormal"/>
    <w:uiPriority w:val="72"/>
    <w:rsid w:val="00CB0664"/>
    <w:pPr>
      <w:spacing w:after="0" w:line="240" w:lineRule="auto"/>
    </w:pPr>
    <w:rPr>
      <w:color w:themeColor="text1" w:val="000000"/>
    </w:rPr>
    <w:tblPr>
      <w:tblStyleRowBandSize w:val="1"/>
      <w:tblStyleColBandSize w:val="1"/>
    </w:tblPr>
    <w:tcPr>
      <w:shd w:color="auto" w:fill="F2EFF6" w:themeFill="accent4" w:themeFillTint="19" w:val="clear"/>
    </w:tcPr>
    <w:tblStylePr w:type="firstRow">
      <w:rPr>
        <w:b/>
        <w:bCs/>
        <w:color w:themeColor="background1" w:val="FFFFFF"/>
      </w:rPr>
      <w:tblPr/>
      <w:tcPr>
        <w:tcBorders>
          <w:bottom w:color="FFFFFF" w:space="0" w:sz="12" w:themeColor="background1" w:val="single"/>
        </w:tcBorders>
        <w:shd w:color="auto" w:fill="7E9C40" w:themeFill="accent3" w:themeFillShade="CC" w:val="clear"/>
      </w:tcPr>
    </w:tblStylePr>
    <w:tblStylePr w:type="lastRow">
      <w:rPr>
        <w:b/>
        <w:bCs/>
        <w:color w:themeColor="accent3" w:themeShade="CC" w:val="7E9C40"/>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DFD8E8" w:themeFill="accent4" w:themeFillTint="3F" w:val="clear"/>
      </w:tcPr>
    </w:tblStylePr>
    <w:tblStylePr w:type="band1Horz">
      <w:tblPr/>
      <w:tcPr>
        <w:shd w:color="auto" w:fill="E5DFEC" w:themeFill="accent4" w:themeFillTint="33" w:val="clear"/>
      </w:tcPr>
    </w:tblStylePr>
  </w:style>
  <w:style w:styleId="ColourfulListAccent5" w:type="table">
    <w:name w:val="Colorful List Accent 5"/>
    <w:basedOn w:val="TableNormal"/>
    <w:uiPriority w:val="72"/>
    <w:rsid w:val="00CB0664"/>
    <w:pPr>
      <w:spacing w:after="0" w:line="240" w:lineRule="auto"/>
    </w:pPr>
    <w:rPr>
      <w:color w:themeColor="text1" w:val="000000"/>
    </w:rPr>
    <w:tblPr>
      <w:tblStyleRowBandSize w:val="1"/>
      <w:tblStyleColBandSize w:val="1"/>
    </w:tblPr>
    <w:tcPr>
      <w:shd w:color="auto" w:fill="EDF6F9" w:themeFill="accent5" w:themeFillTint="19" w:val="clear"/>
    </w:tcPr>
    <w:tblStylePr w:type="firstRow">
      <w:rPr>
        <w:b/>
        <w:bCs/>
        <w:color w:themeColor="background1" w:val="FFFFFF"/>
      </w:rPr>
      <w:tblPr/>
      <w:tcPr>
        <w:tcBorders>
          <w:bottom w:color="FFFFFF" w:space="0" w:sz="12" w:themeColor="background1" w:val="single"/>
        </w:tcBorders>
        <w:shd w:color="auto" w:fill="F2730A" w:themeFill="accent6" w:themeFillShade="CC" w:val="clear"/>
      </w:tcPr>
    </w:tblStylePr>
    <w:tblStylePr w:type="lastRow">
      <w:rPr>
        <w:b/>
        <w:bCs/>
        <w:color w:themeColor="accent6" w:themeShade="CC" w:val="F2730A"/>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D2EAF1" w:themeFill="accent5" w:themeFillTint="3F" w:val="clear"/>
      </w:tcPr>
    </w:tblStylePr>
    <w:tblStylePr w:type="band1Horz">
      <w:tblPr/>
      <w:tcPr>
        <w:shd w:color="auto" w:fill="DAEEF3" w:themeFill="accent5" w:themeFillTint="33" w:val="clear"/>
      </w:tcPr>
    </w:tblStylePr>
  </w:style>
  <w:style w:styleId="ColourfulListAccent6" w:type="table">
    <w:name w:val="Colorful List Accent 6"/>
    <w:basedOn w:val="TableNormal"/>
    <w:uiPriority w:val="72"/>
    <w:rsid w:val="00CB0664"/>
    <w:pPr>
      <w:spacing w:after="0" w:line="240" w:lineRule="auto"/>
    </w:pPr>
    <w:rPr>
      <w:color w:themeColor="text1" w:val="000000"/>
    </w:rPr>
    <w:tblPr>
      <w:tblStyleRowBandSize w:val="1"/>
      <w:tblStyleColBandSize w:val="1"/>
    </w:tblPr>
    <w:tcPr>
      <w:shd w:color="auto" w:fill="FEF4EC" w:themeFill="accent6" w:themeFillTint="19" w:val="clear"/>
    </w:tcPr>
    <w:tblStylePr w:type="firstRow">
      <w:rPr>
        <w:b/>
        <w:bCs/>
        <w:color w:themeColor="background1" w:val="FFFFFF"/>
      </w:rPr>
      <w:tblPr/>
      <w:tcPr>
        <w:tcBorders>
          <w:bottom w:color="FFFFFF" w:space="0" w:sz="12" w:themeColor="background1" w:val="single"/>
        </w:tcBorders>
        <w:shd w:color="auto" w:fill="348DA5" w:themeFill="accent5" w:themeFillShade="CC" w:val="clear"/>
      </w:tcPr>
    </w:tblStylePr>
    <w:tblStylePr w:type="lastRow">
      <w:rPr>
        <w:b/>
        <w:bCs/>
        <w:color w:themeColor="accent5" w:themeShade="CC" w:val="348DA5"/>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FDE4D0" w:themeFill="accent6" w:themeFillTint="3F" w:val="clear"/>
      </w:tcPr>
    </w:tblStylePr>
    <w:tblStylePr w:type="band1Horz">
      <w:tblPr/>
      <w:tcPr>
        <w:shd w:color="auto" w:fill="FDE9D9" w:themeFill="accent6" w:themeFillTint="33" w:val="clear"/>
      </w:tcPr>
    </w:tblStylePr>
  </w:style>
  <w:style w:styleId="ColourfulGrid" w:type="table">
    <w:name w:val="Colorful Grid"/>
    <w:basedOn w:val="TableNormal"/>
    <w:uiPriority w:val="73"/>
    <w:rsid w:val="00CB0664"/>
    <w:pPr>
      <w:spacing w:after="0" w:line="240" w:lineRule="auto"/>
    </w:pPr>
    <w:rPr>
      <w:color w:themeColor="text1" w:val="000000"/>
    </w:rPr>
    <w:tblPr>
      <w:tblStyleRowBandSize w:val="1"/>
      <w:tblStyleColBandSize w:val="1"/>
      <w:tblBorders>
        <w:insideH w:color="FFFFFF" w:space="0" w:sz="4" w:themeColor="background1" w:val="single"/>
      </w:tblBorders>
    </w:tblPr>
    <w:tcPr>
      <w:shd w:color="auto" w:fill="CCCCCC" w:themeFill="text1" w:themeFillTint="33" w:val="clear"/>
    </w:tcPr>
    <w:tblStylePr w:type="firstRow">
      <w:rPr>
        <w:b/>
        <w:bCs/>
      </w:rPr>
      <w:tblPr/>
      <w:tcPr>
        <w:shd w:color="auto" w:fill="999999" w:themeFill="text1" w:themeFillTint="66" w:val="clear"/>
      </w:tcPr>
    </w:tblStylePr>
    <w:tblStylePr w:type="lastRow">
      <w:rPr>
        <w:b/>
        <w:bCs/>
        <w:color w:themeColor="text1" w:val="000000"/>
      </w:rPr>
      <w:tblPr/>
      <w:tcPr>
        <w:shd w:color="auto" w:fill="999999" w:themeFill="text1" w:themeFillTint="66" w:val="clear"/>
      </w:tcPr>
    </w:tblStylePr>
    <w:tblStylePr w:type="firstCol">
      <w:rPr>
        <w:color w:themeColor="background1" w:val="FFFFFF"/>
      </w:rPr>
      <w:tblPr/>
      <w:tcPr>
        <w:shd w:color="auto" w:fill="000000" w:themeFill="text1" w:themeFillShade="BF" w:val="clear"/>
      </w:tcPr>
    </w:tblStylePr>
    <w:tblStylePr w:type="lastCol">
      <w:rPr>
        <w:color w:themeColor="background1" w:val="FFFFFF"/>
      </w:rPr>
      <w:tblPr/>
      <w:tcPr>
        <w:shd w:color="auto" w:fill="000000" w:themeFill="text1" w:themeFillShade="BF" w:val="clear"/>
      </w:tcPr>
    </w:tblStylePr>
    <w:tblStylePr w:type="band1Vert">
      <w:tblPr/>
      <w:tcPr>
        <w:shd w:color="auto" w:fill="808080" w:themeFill="text1" w:themeFillTint="7F" w:val="clear"/>
      </w:tcPr>
    </w:tblStylePr>
    <w:tblStylePr w:type="band1Horz">
      <w:tblPr/>
      <w:tcPr>
        <w:shd w:color="auto" w:fill="808080" w:themeFill="text1" w:themeFillTint="7F" w:val="clear"/>
      </w:tcPr>
    </w:tblStylePr>
  </w:style>
  <w:style w:styleId="ColourfulGridAccent1" w:type="table">
    <w:name w:val="Colorful Grid Accent 1"/>
    <w:basedOn w:val="TableNormal"/>
    <w:uiPriority w:val="73"/>
    <w:rsid w:val="00CB0664"/>
    <w:pPr>
      <w:spacing w:after="0" w:line="240" w:lineRule="auto"/>
    </w:pPr>
    <w:rPr>
      <w:color w:themeColor="text1" w:val="000000"/>
    </w:rPr>
    <w:tblPr>
      <w:tblStyleRowBandSize w:val="1"/>
      <w:tblStyleColBandSize w:val="1"/>
      <w:tblBorders>
        <w:insideH w:color="FFFFFF" w:space="0" w:sz="4" w:themeColor="background1" w:val="single"/>
      </w:tblBorders>
    </w:tblPr>
    <w:tcPr>
      <w:shd w:color="auto" w:fill="DBE5F1" w:themeFill="accent1" w:themeFillTint="33" w:val="clear"/>
    </w:tcPr>
    <w:tblStylePr w:type="firstRow">
      <w:rPr>
        <w:b/>
        <w:bCs/>
      </w:rPr>
      <w:tblPr/>
      <w:tcPr>
        <w:shd w:color="auto" w:fill="B8CCE4" w:themeFill="accent1" w:themeFillTint="66" w:val="clear"/>
      </w:tcPr>
    </w:tblStylePr>
    <w:tblStylePr w:type="lastRow">
      <w:rPr>
        <w:b/>
        <w:bCs/>
        <w:color w:themeColor="text1" w:val="000000"/>
      </w:rPr>
      <w:tblPr/>
      <w:tcPr>
        <w:shd w:color="auto" w:fill="B8CCE4" w:themeFill="accent1" w:themeFillTint="66" w:val="clear"/>
      </w:tcPr>
    </w:tblStylePr>
    <w:tblStylePr w:type="firstCol">
      <w:rPr>
        <w:color w:themeColor="background1" w:val="FFFFFF"/>
      </w:rPr>
      <w:tblPr/>
      <w:tcPr>
        <w:shd w:color="auto" w:fill="365F91" w:themeFill="accent1" w:themeFillShade="BF" w:val="clear"/>
      </w:tcPr>
    </w:tblStylePr>
    <w:tblStylePr w:type="lastCol">
      <w:rPr>
        <w:color w:themeColor="background1" w:val="FFFFFF"/>
      </w:rPr>
      <w:tblPr/>
      <w:tcPr>
        <w:shd w:color="auto" w:fill="365F91" w:themeFill="accent1" w:themeFillShade="BF" w:val="clear"/>
      </w:tcPr>
    </w:tblStylePr>
    <w:tblStylePr w:type="band1Vert">
      <w:tblPr/>
      <w:tcPr>
        <w:shd w:color="auto" w:fill="A7BFDE" w:themeFill="accent1" w:themeFillTint="7F" w:val="clear"/>
      </w:tcPr>
    </w:tblStylePr>
    <w:tblStylePr w:type="band1Horz">
      <w:tblPr/>
      <w:tcPr>
        <w:shd w:color="auto" w:fill="A7BFDE" w:themeFill="accent1" w:themeFillTint="7F" w:val="clear"/>
      </w:tcPr>
    </w:tblStylePr>
  </w:style>
  <w:style w:styleId="ColourfulGridAccent2" w:type="table">
    <w:name w:val="Colorful Grid Accent 2"/>
    <w:basedOn w:val="TableNormal"/>
    <w:uiPriority w:val="73"/>
    <w:rsid w:val="00CB0664"/>
    <w:pPr>
      <w:spacing w:after="0" w:line="240" w:lineRule="auto"/>
    </w:pPr>
    <w:rPr>
      <w:color w:themeColor="text1" w:val="000000"/>
    </w:rPr>
    <w:tblPr>
      <w:tblStyleRowBandSize w:val="1"/>
      <w:tblStyleColBandSize w:val="1"/>
      <w:tblBorders>
        <w:insideH w:color="FFFFFF" w:space="0" w:sz="4" w:themeColor="background1" w:val="single"/>
      </w:tblBorders>
    </w:tblPr>
    <w:tcPr>
      <w:shd w:color="auto" w:fill="F2DBDB" w:themeFill="accent2" w:themeFillTint="33" w:val="clear"/>
    </w:tcPr>
    <w:tblStylePr w:type="firstRow">
      <w:rPr>
        <w:b/>
        <w:bCs/>
      </w:rPr>
      <w:tblPr/>
      <w:tcPr>
        <w:shd w:color="auto" w:fill="E5B8B7" w:themeFill="accent2" w:themeFillTint="66" w:val="clear"/>
      </w:tcPr>
    </w:tblStylePr>
    <w:tblStylePr w:type="lastRow">
      <w:rPr>
        <w:b/>
        <w:bCs/>
        <w:color w:themeColor="text1" w:val="000000"/>
      </w:rPr>
      <w:tblPr/>
      <w:tcPr>
        <w:shd w:color="auto" w:fill="E5B8B7" w:themeFill="accent2" w:themeFillTint="66" w:val="clear"/>
      </w:tcPr>
    </w:tblStylePr>
    <w:tblStylePr w:type="firstCol">
      <w:rPr>
        <w:color w:themeColor="background1" w:val="FFFFFF"/>
      </w:rPr>
      <w:tblPr/>
      <w:tcPr>
        <w:shd w:color="auto" w:fill="943634" w:themeFill="accent2" w:themeFillShade="BF" w:val="clear"/>
      </w:tcPr>
    </w:tblStylePr>
    <w:tblStylePr w:type="lastCol">
      <w:rPr>
        <w:color w:themeColor="background1" w:val="FFFFFF"/>
      </w:rPr>
      <w:tblPr/>
      <w:tcPr>
        <w:shd w:color="auto" w:fill="943634" w:themeFill="accent2" w:themeFillShade="BF" w:val="clear"/>
      </w:tcPr>
    </w:tblStylePr>
    <w:tblStylePr w:type="band1Vert">
      <w:tblPr/>
      <w:tcPr>
        <w:shd w:color="auto" w:fill="DFA7A6" w:themeFill="accent2" w:themeFillTint="7F" w:val="clear"/>
      </w:tcPr>
    </w:tblStylePr>
    <w:tblStylePr w:type="band1Horz">
      <w:tblPr/>
      <w:tcPr>
        <w:shd w:color="auto" w:fill="DFA7A6" w:themeFill="accent2" w:themeFillTint="7F" w:val="clear"/>
      </w:tcPr>
    </w:tblStylePr>
  </w:style>
  <w:style w:styleId="ColourfulGridAccent3" w:type="table">
    <w:name w:val="Colorful Grid Accent 3"/>
    <w:basedOn w:val="TableNormal"/>
    <w:uiPriority w:val="73"/>
    <w:rsid w:val="00CB0664"/>
    <w:pPr>
      <w:spacing w:after="0" w:line="240" w:lineRule="auto"/>
    </w:pPr>
    <w:rPr>
      <w:color w:themeColor="text1" w:val="000000"/>
    </w:rPr>
    <w:tblPr>
      <w:tblStyleRowBandSize w:val="1"/>
      <w:tblStyleColBandSize w:val="1"/>
      <w:tblBorders>
        <w:insideH w:color="FFFFFF" w:space="0" w:sz="4" w:themeColor="background1" w:val="single"/>
      </w:tblBorders>
    </w:tblPr>
    <w:tcPr>
      <w:shd w:color="auto" w:fill="EAF1DD" w:themeFill="accent3" w:themeFillTint="33" w:val="clear"/>
    </w:tcPr>
    <w:tblStylePr w:type="firstRow">
      <w:rPr>
        <w:b/>
        <w:bCs/>
      </w:rPr>
      <w:tblPr/>
      <w:tcPr>
        <w:shd w:color="auto" w:fill="D6E3BC" w:themeFill="accent3" w:themeFillTint="66" w:val="clear"/>
      </w:tcPr>
    </w:tblStylePr>
    <w:tblStylePr w:type="lastRow">
      <w:rPr>
        <w:b/>
        <w:bCs/>
        <w:color w:themeColor="text1" w:val="000000"/>
      </w:rPr>
      <w:tblPr/>
      <w:tcPr>
        <w:shd w:color="auto" w:fill="D6E3BC" w:themeFill="accent3" w:themeFillTint="66" w:val="clear"/>
      </w:tcPr>
    </w:tblStylePr>
    <w:tblStylePr w:type="firstCol">
      <w:rPr>
        <w:color w:themeColor="background1" w:val="FFFFFF"/>
      </w:rPr>
      <w:tblPr/>
      <w:tcPr>
        <w:shd w:color="auto" w:fill="76923C" w:themeFill="accent3" w:themeFillShade="BF" w:val="clear"/>
      </w:tcPr>
    </w:tblStylePr>
    <w:tblStylePr w:type="lastCol">
      <w:rPr>
        <w:color w:themeColor="background1" w:val="FFFFFF"/>
      </w:rPr>
      <w:tblPr/>
      <w:tcPr>
        <w:shd w:color="auto" w:fill="76923C" w:themeFill="accent3" w:themeFillShade="BF" w:val="clear"/>
      </w:tcPr>
    </w:tblStylePr>
    <w:tblStylePr w:type="band1Vert">
      <w:tblPr/>
      <w:tcPr>
        <w:shd w:color="auto" w:fill="CDDDAC" w:themeFill="accent3" w:themeFillTint="7F" w:val="clear"/>
      </w:tcPr>
    </w:tblStylePr>
    <w:tblStylePr w:type="band1Horz">
      <w:tblPr/>
      <w:tcPr>
        <w:shd w:color="auto" w:fill="CDDDAC" w:themeFill="accent3" w:themeFillTint="7F" w:val="clear"/>
      </w:tcPr>
    </w:tblStylePr>
  </w:style>
  <w:style w:styleId="ColourfulGridAccent4" w:type="table">
    <w:name w:val="Colorful Grid Accent 4"/>
    <w:basedOn w:val="TableNormal"/>
    <w:uiPriority w:val="73"/>
    <w:rsid w:val="00CB0664"/>
    <w:pPr>
      <w:spacing w:after="0" w:line="240" w:lineRule="auto"/>
    </w:pPr>
    <w:rPr>
      <w:color w:themeColor="text1" w:val="000000"/>
    </w:rPr>
    <w:tblPr>
      <w:tblStyleRowBandSize w:val="1"/>
      <w:tblStyleColBandSize w:val="1"/>
      <w:tblBorders>
        <w:insideH w:color="FFFFFF" w:space="0" w:sz="4" w:themeColor="background1" w:val="single"/>
      </w:tblBorders>
    </w:tblPr>
    <w:tcPr>
      <w:shd w:color="auto" w:fill="E5DFEC" w:themeFill="accent4" w:themeFillTint="33" w:val="clear"/>
    </w:tcPr>
    <w:tblStylePr w:type="firstRow">
      <w:rPr>
        <w:b/>
        <w:bCs/>
      </w:rPr>
      <w:tblPr/>
      <w:tcPr>
        <w:shd w:color="auto" w:fill="CCC0D9" w:themeFill="accent4" w:themeFillTint="66" w:val="clear"/>
      </w:tcPr>
    </w:tblStylePr>
    <w:tblStylePr w:type="lastRow">
      <w:rPr>
        <w:b/>
        <w:bCs/>
        <w:color w:themeColor="text1" w:val="000000"/>
      </w:rPr>
      <w:tblPr/>
      <w:tcPr>
        <w:shd w:color="auto" w:fill="CCC0D9" w:themeFill="accent4" w:themeFillTint="66" w:val="clear"/>
      </w:tcPr>
    </w:tblStylePr>
    <w:tblStylePr w:type="firstCol">
      <w:rPr>
        <w:color w:themeColor="background1" w:val="FFFFFF"/>
      </w:rPr>
      <w:tblPr/>
      <w:tcPr>
        <w:shd w:color="auto" w:fill="5F497A" w:themeFill="accent4" w:themeFillShade="BF" w:val="clear"/>
      </w:tcPr>
    </w:tblStylePr>
    <w:tblStylePr w:type="lastCol">
      <w:rPr>
        <w:color w:themeColor="background1" w:val="FFFFFF"/>
      </w:rPr>
      <w:tblPr/>
      <w:tcPr>
        <w:shd w:color="auto" w:fill="5F497A" w:themeFill="accent4" w:themeFillShade="BF" w:val="clear"/>
      </w:tcPr>
    </w:tblStylePr>
    <w:tblStylePr w:type="band1Vert">
      <w:tblPr/>
      <w:tcPr>
        <w:shd w:color="auto" w:fill="BFB1D0" w:themeFill="accent4" w:themeFillTint="7F" w:val="clear"/>
      </w:tcPr>
    </w:tblStylePr>
    <w:tblStylePr w:type="band1Horz">
      <w:tblPr/>
      <w:tcPr>
        <w:shd w:color="auto" w:fill="BFB1D0" w:themeFill="accent4" w:themeFillTint="7F" w:val="clear"/>
      </w:tcPr>
    </w:tblStylePr>
  </w:style>
  <w:style w:styleId="ColourfulGridAccent5" w:type="table">
    <w:name w:val="Colorful Grid Accent 5"/>
    <w:basedOn w:val="TableNormal"/>
    <w:uiPriority w:val="73"/>
    <w:rsid w:val="00CB0664"/>
    <w:pPr>
      <w:spacing w:after="0" w:line="240" w:lineRule="auto"/>
    </w:pPr>
    <w:rPr>
      <w:color w:themeColor="text1" w:val="000000"/>
    </w:rPr>
    <w:tblPr>
      <w:tblStyleRowBandSize w:val="1"/>
      <w:tblStyleColBandSize w:val="1"/>
      <w:tblBorders>
        <w:insideH w:color="FFFFFF" w:space="0" w:sz="4" w:themeColor="background1" w:val="single"/>
      </w:tblBorders>
    </w:tblPr>
    <w:tcPr>
      <w:shd w:color="auto" w:fill="DAEEF3" w:themeFill="accent5" w:themeFillTint="33" w:val="clear"/>
    </w:tcPr>
    <w:tblStylePr w:type="firstRow">
      <w:rPr>
        <w:b/>
        <w:bCs/>
      </w:rPr>
      <w:tblPr/>
      <w:tcPr>
        <w:shd w:color="auto" w:fill="B6DDE8" w:themeFill="accent5" w:themeFillTint="66" w:val="clear"/>
      </w:tcPr>
    </w:tblStylePr>
    <w:tblStylePr w:type="lastRow">
      <w:rPr>
        <w:b/>
        <w:bCs/>
        <w:color w:themeColor="text1" w:val="000000"/>
      </w:rPr>
      <w:tblPr/>
      <w:tcPr>
        <w:shd w:color="auto" w:fill="B6DDE8" w:themeFill="accent5" w:themeFillTint="66" w:val="clear"/>
      </w:tcPr>
    </w:tblStylePr>
    <w:tblStylePr w:type="firstCol">
      <w:rPr>
        <w:color w:themeColor="background1" w:val="FFFFFF"/>
      </w:rPr>
      <w:tblPr/>
      <w:tcPr>
        <w:shd w:color="auto" w:fill="31849B" w:themeFill="accent5" w:themeFillShade="BF" w:val="clear"/>
      </w:tcPr>
    </w:tblStylePr>
    <w:tblStylePr w:type="lastCol">
      <w:rPr>
        <w:color w:themeColor="background1" w:val="FFFFFF"/>
      </w:rPr>
      <w:tblPr/>
      <w:tcPr>
        <w:shd w:color="auto" w:fill="31849B" w:themeFill="accent5" w:themeFillShade="BF" w:val="clear"/>
      </w:tcPr>
    </w:tblStylePr>
    <w:tblStylePr w:type="band1Vert">
      <w:tblPr/>
      <w:tcPr>
        <w:shd w:color="auto" w:fill="A5D5E2" w:themeFill="accent5" w:themeFillTint="7F" w:val="clear"/>
      </w:tcPr>
    </w:tblStylePr>
    <w:tblStylePr w:type="band1Horz">
      <w:tblPr/>
      <w:tcPr>
        <w:shd w:color="auto" w:fill="A5D5E2" w:themeFill="accent5" w:themeFillTint="7F" w:val="clear"/>
      </w:tcPr>
    </w:tblStylePr>
  </w:style>
  <w:style w:styleId="ColourfulGridAccent6" w:type="table">
    <w:name w:val="Colorful Grid Accent 6"/>
    <w:basedOn w:val="TableNormal"/>
    <w:uiPriority w:val="73"/>
    <w:rsid w:val="00CB0664"/>
    <w:pPr>
      <w:spacing w:after="0" w:line="240" w:lineRule="auto"/>
    </w:pPr>
    <w:rPr>
      <w:color w:themeColor="text1" w:val="000000"/>
    </w:rPr>
    <w:tblPr>
      <w:tblStyleRowBandSize w:val="1"/>
      <w:tblStyleColBandSize w:val="1"/>
      <w:tblBorders>
        <w:insideH w:color="FFFFFF" w:space="0" w:sz="4" w:themeColor="background1" w:val="single"/>
      </w:tblBorders>
    </w:tblPr>
    <w:tcPr>
      <w:shd w:color="auto" w:fill="FDE9D9" w:themeFill="accent6" w:themeFillTint="33" w:val="clear"/>
    </w:tcPr>
    <w:tblStylePr w:type="firstRow">
      <w:rPr>
        <w:b/>
        <w:bCs/>
      </w:rPr>
      <w:tblPr/>
      <w:tcPr>
        <w:shd w:color="auto" w:fill="FBD4B4" w:themeFill="accent6" w:themeFillTint="66" w:val="clear"/>
      </w:tcPr>
    </w:tblStylePr>
    <w:tblStylePr w:type="lastRow">
      <w:rPr>
        <w:b/>
        <w:bCs/>
        <w:color w:themeColor="text1" w:val="000000"/>
      </w:rPr>
      <w:tblPr/>
      <w:tcPr>
        <w:shd w:color="auto" w:fill="FBD4B4" w:themeFill="accent6" w:themeFillTint="66" w:val="clear"/>
      </w:tcPr>
    </w:tblStylePr>
    <w:tblStylePr w:type="firstCol">
      <w:rPr>
        <w:color w:themeColor="background1" w:val="FFFFFF"/>
      </w:rPr>
      <w:tblPr/>
      <w:tcPr>
        <w:shd w:color="auto" w:fill="E36C0A" w:themeFill="accent6" w:themeFillShade="BF" w:val="clear"/>
      </w:tcPr>
    </w:tblStylePr>
    <w:tblStylePr w:type="lastCol">
      <w:rPr>
        <w:color w:themeColor="background1" w:val="FFFFFF"/>
      </w:rPr>
      <w:tblPr/>
      <w:tcPr>
        <w:shd w:color="auto" w:fill="E36C0A" w:themeFill="accent6" w:themeFillShade="BF" w:val="clear"/>
      </w:tcPr>
    </w:tblStylePr>
    <w:tblStylePr w:type="band1Vert">
      <w:tblPr/>
      <w:tcPr>
        <w:shd w:color="auto" w:fill="FBCAA2" w:themeFill="accent6" w:themeFillTint="7F" w:val="clear"/>
      </w:tcPr>
    </w:tblStylePr>
    <w:tblStylePr w:type="band1Horz">
      <w:tblPr/>
      <w:tcPr>
        <w:shd w:color="auto" w:fill="FBCAA2" w:themeFill="accent6" w:themeFillTint="7F" w:val="clear"/>
      </w:tcPr>
    </w:tblStylePr>
  </w:style>
  <w:style w:customStyle="1" w:styleId="SourceCode" w:type="paragraph">
    <w:name w:val="Source Code"/>
    <w:basedOn w:val="Normal"/>
    <w:link w:val="VerbatimChar"/>
    <w:pPr>
      <w:wordWrap w:val="off"/>
    </w:pPr>
  </w:style>
  <w:style w:customStyle="1" w:styleId="KeywordTok" w:type="character">
    <w:name w:val="KeywordTok"/>
    <w:basedOn w:val="VerbatimChar"/>
    <w:rPr>
      <w:b/>
      <w:color w:val="007020"/>
    </w:rPr>
  </w:style>
  <w:style w:customStyle="1" w:styleId="DataTypeTok" w:type="character">
    <w:name w:val="DataTypeTok"/>
    <w:basedOn w:val="VerbatimChar"/>
    <w:rPr>
      <w:color w:val="902000"/>
    </w:rPr>
  </w:style>
  <w:style w:customStyle="1" w:styleId="DecValTok" w:type="character">
    <w:name w:val="DecValTok"/>
    <w:basedOn w:val="VerbatimChar"/>
    <w:rPr>
      <w:color w:val="40a070"/>
    </w:rPr>
  </w:style>
  <w:style w:customStyle="1" w:styleId="BaseNTok" w:type="character">
    <w:name w:val="BaseNTok"/>
    <w:basedOn w:val="VerbatimChar"/>
    <w:rPr>
      <w:color w:val="40a070"/>
    </w:rPr>
  </w:style>
  <w:style w:customStyle="1" w:styleId="FloatTok" w:type="character">
    <w:name w:val="FloatTok"/>
    <w:basedOn w:val="VerbatimChar"/>
    <w:rPr>
      <w:color w:val="40a070"/>
    </w:rPr>
  </w:style>
  <w:style w:customStyle="1" w:styleId="ConstantTok" w:type="character">
    <w:name w:val="ConstantTok"/>
    <w:basedOn w:val="VerbatimChar"/>
    <w:rPr>
      <w:color w:val="880000"/>
    </w:rPr>
  </w:style>
  <w:style w:customStyle="1" w:styleId="CharTok" w:type="character">
    <w:name w:val="CharTok"/>
    <w:basedOn w:val="VerbatimChar"/>
    <w:rPr>
      <w:color w:val="4070a0"/>
    </w:rPr>
  </w:style>
  <w:style w:customStyle="1" w:styleId="SpecialCharTok" w:type="character">
    <w:name w:val="SpecialCharTok"/>
    <w:basedOn w:val="VerbatimChar"/>
    <w:rPr>
      <w:color w:val="4070a0"/>
    </w:rPr>
  </w:style>
  <w:style w:customStyle="1" w:styleId="StringTok" w:type="character">
    <w:name w:val="StringTok"/>
    <w:basedOn w:val="VerbatimChar"/>
    <w:rPr>
      <w:color w:val="4070a0"/>
    </w:rPr>
  </w:style>
  <w:style w:customStyle="1" w:styleId="VerbatimStringTok" w:type="character">
    <w:name w:val="VerbatimStringTok"/>
    <w:basedOn w:val="VerbatimChar"/>
    <w:rPr>
      <w:color w:val="4070a0"/>
    </w:rPr>
  </w:style>
  <w:style w:customStyle="1" w:styleId="SpecialStringTok" w:type="character">
    <w:name w:val="SpecialStringTok"/>
    <w:basedOn w:val="VerbatimChar"/>
    <w:rPr>
      <w:color w:val="bb6688"/>
    </w:rPr>
  </w:style>
  <w:style w:customStyle="1" w:styleId="ImportTok" w:type="character">
    <w:name w:val="ImportTok"/>
    <w:basedOn w:val="VerbatimChar"/>
    <w:rPr>
      <w:b/>
      <w:color w:val="008000"/>
    </w:rPr>
  </w:style>
  <w:style w:customStyle="1" w:styleId="CommentTok" w:type="character">
    <w:name w:val="CommentTok"/>
    <w:basedOn w:val="VerbatimChar"/>
    <w:rPr>
      <w:i/>
      <w:color w:val="60a0b0"/>
    </w:rPr>
  </w:style>
  <w:style w:customStyle="1" w:styleId="DocumentationTok" w:type="character">
    <w:name w:val="DocumentationTok"/>
    <w:basedOn w:val="VerbatimChar"/>
    <w:rPr>
      <w:i/>
      <w:color w:val="ba2121"/>
    </w:rPr>
  </w:style>
  <w:style w:customStyle="1" w:styleId="AnnotationTok" w:type="character">
    <w:name w:val="AnnotationTok"/>
    <w:basedOn w:val="VerbatimChar"/>
    <w:rPr>
      <w:b/>
      <w:i/>
      <w:color w:val="60a0b0"/>
    </w:rPr>
  </w:style>
  <w:style w:customStyle="1" w:styleId="CommentVarTok" w:type="character">
    <w:name w:val="CommentVarTok"/>
    <w:basedOn w:val="VerbatimChar"/>
    <w:rPr>
      <w:b/>
      <w:i/>
      <w:color w:val="60a0b0"/>
    </w:rPr>
  </w:style>
  <w:style w:customStyle="1" w:styleId="OtherTok" w:type="character">
    <w:name w:val="OtherTok"/>
    <w:basedOn w:val="VerbatimChar"/>
    <w:rPr>
      <w:color w:val="007020"/>
    </w:rPr>
  </w:style>
  <w:style w:customStyle="1" w:styleId="FunctionTok" w:type="character">
    <w:name w:val="FunctionTok"/>
    <w:basedOn w:val="VerbatimChar"/>
    <w:rPr>
      <w:color w:val="06287e"/>
    </w:rPr>
  </w:style>
  <w:style w:customStyle="1" w:styleId="VariableTok" w:type="character">
    <w:name w:val="VariableTok"/>
    <w:basedOn w:val="VerbatimChar"/>
    <w:rPr>
      <w:color w:val="19177c"/>
    </w:rPr>
  </w:style>
  <w:style w:customStyle="1" w:styleId="ControlFlowTok" w:type="character">
    <w:name w:val="ControlFlowTok"/>
    <w:basedOn w:val="VerbatimChar"/>
    <w:rPr>
      <w:b/>
      <w:color w:val="007020"/>
    </w:rPr>
  </w:style>
  <w:style w:customStyle="1" w:styleId="OperatorTok" w:type="character">
    <w:name w:val="OperatorTok"/>
    <w:basedOn w:val="VerbatimChar"/>
    <w:rPr>
      <w:color w:val="666666"/>
    </w:rPr>
  </w:style>
  <w:style w:customStyle="1" w:styleId="BuiltInTok" w:type="character">
    <w:name w:val="BuiltInTok"/>
    <w:basedOn w:val="VerbatimChar"/>
    <w:rPr>
      <w:color w:val="008000"/>
    </w:rPr>
  </w:style>
  <w:style w:customStyle="1" w:styleId="ExtensionTok" w:type="character">
    <w:name w:val="ExtensionTok"/>
    <w:basedOn w:val="VerbatimChar"/>
    <w:rPr/>
  </w:style>
  <w:style w:customStyle="1" w:styleId="PreprocessorTok" w:type="character">
    <w:name w:val="PreprocessorTok"/>
    <w:basedOn w:val="VerbatimChar"/>
    <w:rPr>
      <w:color w:val="bc7a00"/>
    </w:rPr>
  </w:style>
  <w:style w:customStyle="1" w:styleId="AttributeTok" w:type="character">
    <w:name w:val="AttributeTok"/>
    <w:basedOn w:val="VerbatimChar"/>
    <w:rPr>
      <w:color w:val="7d9029"/>
    </w:rPr>
  </w:style>
  <w:style w:customStyle="1" w:styleId="RegionMarkerTok" w:type="character">
    <w:name w:val="RegionMarkerTok"/>
    <w:basedOn w:val="VerbatimChar"/>
    <w:rPr/>
  </w:style>
  <w:style w:customStyle="1" w:styleId="InformationTok" w:type="character">
    <w:name w:val="InformationTok"/>
    <w:basedOn w:val="VerbatimChar"/>
    <w:rPr>
      <w:b/>
      <w:i/>
      <w:color w:val="60a0b0"/>
    </w:rPr>
  </w:style>
  <w:style w:customStyle="1" w:styleId="WarningTok" w:type="character">
    <w:name w:val="WarningTok"/>
    <w:basedOn w:val="VerbatimChar"/>
    <w:rPr>
      <w:b/>
      <w:i/>
      <w:color w:val="60a0b0"/>
    </w:rPr>
  </w:style>
  <w:style w:customStyle="1" w:styleId="AlertTok" w:type="character">
    <w:name w:val="AlertTok"/>
    <w:basedOn w:val="VerbatimChar"/>
    <w:rPr>
      <w:b/>
      <w:color w:val="ff0000"/>
    </w:rPr>
  </w:style>
  <w:style w:customStyle="1" w:styleId="ErrorTok" w:type="character">
    <w:name w:val="ErrorTok"/>
    <w:basedOn w:val="VerbatimChar"/>
    <w:rPr>
      <w:b/>
      <w:color w:val="ff0000"/>
    </w:rPr>
  </w:style>
  <w:style w:customStyle="1" w:styleId="NormalTok" w:type="character">
    <w:name w:val="NormalTok"/>
    <w:basedOn w:val="VerbatimChar"/>
    <w:r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allowPNG/>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12</Pages>
  <Words>4115</Words>
  <Characters>23456</Characters>
  <Application>Microsoft Office Word</Application>
  <DocSecurity>0</DocSecurity>
  <Lines>195</Lines>
  <Paragraphs>55</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27516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2026-07-07T14:06:19Z</dcterms:created>
  <dcterms:modified xsi:type="dcterms:W3CDTF">2026-07-07T14:06:19Z</dcterms:modified>
</cp:coreProperties>
</file>

<file path=docProps/custom.xml><?xml version="1.0" encoding="utf-8"?>
<Properties xmlns="http://schemas.openxmlformats.org/officeDocument/2006/custom-properties" xmlns:vt="http://schemas.openxmlformats.org/officeDocument/2006/docPropsVTypes"/>
</file>