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E5CD8F" w14:textId="77777777" w:rsidR="006A7303" w:rsidRDefault="00000000">
      <w:pPr>
        <w:pStyle w:val="Heading1"/>
      </w:pPr>
      <w:bookmarkStart w:id="0" w:name="mapping-an-advocacy-coalition-worksheet"/>
      <w:r>
        <w:t>Mapping an Advocacy Coalition — Worksheet</w:t>
      </w:r>
    </w:p>
    <w:p w14:paraId="7C0BA3B6" w14:textId="77777777" w:rsidR="006A7303" w:rsidRDefault="00000000">
      <w:pPr>
        <w:pStyle w:val="Heading2"/>
      </w:pPr>
      <w:bookmarkStart w:id="1" w:name="brazil-climate-acf-pair-confrontational"/>
      <w:r>
        <w:t>Brazil — Climate ACF pair (confrontational)</w:t>
      </w:r>
    </w:p>
    <w:p w14:paraId="6594893B" w14:textId="77777777" w:rsidR="006A7303" w:rsidRDefault="00000000">
      <w:r>
        <w:t>IR227 Seminar 3 — Group worksheet</w:t>
      </w:r>
    </w:p>
    <w:p w14:paraId="0E61900D" w14:textId="77777777" w:rsidR="006A7303" w:rsidRDefault="00000000">
      <w:pPr>
        <w:pStyle w:val="Heading3"/>
      </w:pPr>
      <w:bookmarkStart w:id="2" w:name="task"/>
      <w:r>
        <w:t>Task</w:t>
      </w:r>
    </w:p>
    <w:p w14:paraId="4FE0009D" w14:textId="77777777" w:rsidR="006A7303" w:rsidRDefault="00000000">
      <w:r>
        <w:t>Map the advocacy coalitions in your assigned case. Identify their three-tier belief systems. Name the broker if there is one. Explain why change has happened (or hasn’t) over the past decade. Then a brief reflection: does ACF fit cleanly, or would PET or MSF do better?</w:t>
      </w:r>
    </w:p>
    <w:p w14:paraId="5F846239" w14:textId="77777777" w:rsidR="006A7303" w:rsidRDefault="00000000">
      <w:pPr>
        <w:pStyle w:val="Heading3"/>
      </w:pPr>
      <w:bookmarkStart w:id="3" w:name="requirements"/>
      <w:bookmarkEnd w:id="2"/>
      <w:r>
        <w:t>Requirements</w:t>
      </w:r>
    </w:p>
    <w:p w14:paraId="74B900B7" w14:textId="77777777" w:rsidR="006A7303" w:rsidRDefault="00000000">
      <w:pPr>
        <w:numPr>
          <w:ilvl w:val="0"/>
          <w:numId w:val="11"/>
        </w:numPr>
      </w:pPr>
      <w:r>
        <w:t>name the major coalitions (typically 2–3),</w:t>
      </w:r>
    </w:p>
    <w:p w14:paraId="785D6EC7" w14:textId="77777777" w:rsidR="006A7303" w:rsidRDefault="00000000">
      <w:pPr>
        <w:numPr>
          <w:ilvl w:val="0"/>
          <w:numId w:val="11"/>
        </w:numPr>
      </w:pPr>
      <w:r>
        <w:t>map each coalition’s beliefs at the three tiers,</w:t>
      </w:r>
    </w:p>
    <w:p w14:paraId="336FC3B3" w14:textId="77777777" w:rsidR="006A7303" w:rsidRDefault="00000000">
      <w:pPr>
        <w:numPr>
          <w:ilvl w:val="0"/>
          <w:numId w:val="11"/>
        </w:numPr>
      </w:pPr>
      <w:r>
        <w:t>identify a policy broker if visible,</w:t>
      </w:r>
    </w:p>
    <w:p w14:paraId="61B38A29" w14:textId="77777777" w:rsidR="006A7303" w:rsidRDefault="00000000">
      <w:pPr>
        <w:numPr>
          <w:ilvl w:val="0"/>
          <w:numId w:val="11"/>
        </w:numPr>
      </w:pPr>
      <w:r>
        <w:t>explain change or stability through one of ACF’s four pathways, and</w:t>
      </w:r>
    </w:p>
    <w:p w14:paraId="3FC82275" w14:textId="77777777" w:rsidR="006A7303" w:rsidRDefault="00000000">
      <w:pPr>
        <w:numPr>
          <w:ilvl w:val="0"/>
          <w:numId w:val="11"/>
        </w:numPr>
      </w:pPr>
      <w:r>
        <w:t>close with a brief framework-fit reflection.</w:t>
      </w:r>
    </w:p>
    <w:p w14:paraId="7BDEBAFE" w14:textId="77777777" w:rsidR="006A7303" w:rsidRDefault="00000000">
      <w:r>
        <w:t>Note: these cases are deliberately under-determined. There is no single correct verdict — you will be assessed on the strength of the reasoning chain (coalitions → three-tier mapping → broker → pathway → framework-fit reflection), not on which verdict you reach.</w:t>
      </w:r>
    </w:p>
    <w:p w14:paraId="2AB88FF8" w14:textId="77777777" w:rsidR="006A7303" w:rsidRDefault="00000000">
      <w:pPr>
        <w:pStyle w:val="Heading3"/>
      </w:pPr>
      <w:bookmarkStart w:id="4" w:name="tool-summary"/>
      <w:bookmarkEnd w:id="3"/>
      <w:r>
        <w:t>Tool summary</w:t>
      </w:r>
    </w:p>
    <w:p w14:paraId="0577F3F1" w14:textId="77777777" w:rsidR="006A7303" w:rsidRDefault="00000000">
      <w:r>
        <w:rPr>
          <w:b/>
          <w:bCs/>
        </w:rPr>
        <w:t>Three-tier belief structure (Nohrstedt 2023).</w:t>
      </w:r>
      <w:r>
        <w:t xml:space="preserve"> A coalition is </w:t>
      </w:r>
      <w:r>
        <w:rPr>
          <w:i/>
          <w:iCs/>
        </w:rPr>
        <w:t>not</w:t>
      </w:r>
      <w:r>
        <w:t xml:space="preserve"> “the people who want X” — it is a group with shared policy-core beliefs, persistent over time, with coordinated activity (even if not formally organised).</w:t>
      </w:r>
    </w:p>
    <w:p w14:paraId="65D605AB" w14:textId="77777777" w:rsidR="006A7303" w:rsidRDefault="00000000">
      <w:pPr>
        <w:numPr>
          <w:ilvl w:val="0"/>
          <w:numId w:val="12"/>
        </w:numPr>
      </w:pPr>
      <w:r>
        <w:t>Deep core — fundamental normative commitments (liberty vs. equality, the proper role of government). Broadly philosophical and resistant to change.</w:t>
      </w:r>
    </w:p>
    <w:p w14:paraId="5EA455E6" w14:textId="77777777" w:rsidR="006A7303" w:rsidRDefault="00000000">
      <w:pPr>
        <w:numPr>
          <w:ilvl w:val="0"/>
          <w:numId w:val="12"/>
        </w:numPr>
      </w:pPr>
      <w:r>
        <w:t>Policy core — positions on the proper scope of government in the domain, plus causal beliefs. This is the tier coalitions actually form around.</w:t>
      </w:r>
    </w:p>
    <w:p w14:paraId="61803E28" w14:textId="77777777" w:rsidR="006A7303" w:rsidRDefault="00000000">
      <w:pPr>
        <w:numPr>
          <w:ilvl w:val="0"/>
          <w:numId w:val="12"/>
        </w:numPr>
      </w:pPr>
      <w:r>
        <w:t>Secondary aspects — implementation details, instruments, budgets. The most negotiable tier.</w:t>
      </w:r>
    </w:p>
    <w:p w14:paraId="0FDD6A10" w14:textId="77777777" w:rsidR="006A7303" w:rsidRDefault="00000000">
      <w:r>
        <w:rPr>
          <w:b/>
          <w:bCs/>
        </w:rPr>
        <w:t>Four pathways to policy-core change.</w:t>
      </w:r>
      <w:r>
        <w:t xml:space="preserve"> External shocks, internal shocks, accumulated evidence (via professional forums), and negotiated agreements (requiring brokers and hurting stalemates). Each predicts different observable conditions before, during, and after change — an external-shock claim needs to specify what made a coalition newly able to win, not just what changed externally.</w:t>
      </w:r>
    </w:p>
    <w:p w14:paraId="3C3AA002" w14:textId="77777777" w:rsidR="006A7303" w:rsidRDefault="00000000">
      <w:pPr>
        <w:pStyle w:val="BodyText"/>
      </w:pPr>
      <w:r>
        <w:rPr>
          <w:b/>
          <w:bCs/>
        </w:rPr>
        <w:lastRenderedPageBreak/>
        <w:t>Broker vs. entrepreneur.</w:t>
      </w:r>
      <w:r>
        <w:t xml:space="preserve"> A broker mediates between coalitions and does not push a position; brokers are often institutional rather than personal. An entrepreneur (MSF vocabulary) invests resources to push a particular outcome. Do not collapse the two: naming “the minister who pushed the policy” as a broker is a category error.</w:t>
      </w:r>
    </w:p>
    <w:p w14:paraId="30194F69" w14:textId="77777777" w:rsidR="006A7303" w:rsidRDefault="00000000">
      <w:pPr>
        <w:pStyle w:val="BodyText"/>
      </w:pPr>
      <w:r>
        <w:rPr>
          <w:b/>
          <w:bCs/>
        </w:rPr>
        <w:t>Framework-fit reflection.</w:t>
      </w:r>
      <w:r>
        <w:t xml:space="preserve"> ACF is strongest where coalitions are clearly name-able, decade-stable, and belief-organised. PET is stronger where the analytical question is </w:t>
      </w:r>
      <w:r>
        <w:rPr>
          <w:i/>
          <w:iCs/>
        </w:rPr>
        <w:t>why this rhythm of stasis and punctuation</w:t>
      </w:r>
      <w:r>
        <w:t xml:space="preserve">. MSF is stronger where the question is </w:t>
      </w:r>
      <w:r>
        <w:rPr>
          <w:i/>
          <w:iCs/>
        </w:rPr>
        <w:t>what coupled at this moment</w:t>
      </w:r>
      <w:r>
        <w:t>. Picking the right framework for the question is itself an analytical skill.</w:t>
      </w:r>
    </w:p>
    <w:p w14:paraId="56082B16" w14:textId="77777777" w:rsidR="006A7303" w:rsidRDefault="00000000">
      <w:pPr>
        <w:pStyle w:val="Heading3"/>
      </w:pPr>
      <w:bookmarkStart w:id="5" w:name="case-specifics-from-the-case-pack"/>
      <w:bookmarkEnd w:id="4"/>
      <w:r>
        <w:t>Case specifics (from the case pack)</w:t>
      </w:r>
    </w:p>
    <w:p w14:paraId="1269D0D3" w14:textId="1D8D9239" w:rsidR="006A7303" w:rsidRDefault="00000000">
      <w:r>
        <w:t>Brazil’s climate policy across the 2000–2015 period sits at the intersection of two long-running</w:t>
      </w:r>
      <w:r w:rsidR="0025668F">
        <w:t xml:space="preserve"> policy discussions</w:t>
      </w:r>
      <w:r>
        <w:t xml:space="preserve">. A pro-climate </w:t>
      </w:r>
      <w:r w:rsidR="0025668F">
        <w:t xml:space="preserve">group </w:t>
      </w:r>
      <w:r>
        <w:t xml:space="preserve">consolidated through the early 2000s, drawing on environmental NGOs (Greenpeace Brazil, ISA, IPAM), the Foreign Ministry’s climate-attentive diplomatic network, allied state governments (notably São Paulo), and a sustained academic community at USP, UNICAMP, and INPA. A developmentalist </w:t>
      </w:r>
      <w:r w:rsidR="0025668F">
        <w:t xml:space="preserve">group </w:t>
      </w:r>
      <w:r>
        <w:t xml:space="preserve">aligned in the same period across agribusiness associations, infrastructure-focused parts of the Mines and Energy Ministry, congressional ruralist blocs, and segments of the BNDES. The two coalitions have been publicly at odds for over two decades, with the presidential office alternating in alignment. Brazil’s coalition strategy in this period is classified as </w:t>
      </w:r>
      <w:r>
        <w:rPr>
          <w:i/>
          <w:iCs/>
        </w:rPr>
        <w:t>confrontational</w:t>
      </w:r>
      <w:r>
        <w:t>: the coalitions operate openly, the disagreement is publicly visible, and influence-opportunity structures reward exposure rather than absorption.</w:t>
      </w:r>
    </w:p>
    <w:p w14:paraId="007CDC5D" w14:textId="77777777" w:rsidR="006A7303" w:rsidRDefault="00000000">
      <w:pPr>
        <w:pStyle w:val="BodyText"/>
      </w:pPr>
      <w:r>
        <w:t>The arc has produced both major change moments (Lula’s deforestation policy 2004–2008; the Paris Agreement; the Amazon Fund) and major reversals (the early Bolsonaro period). Through it all, the underlying coalitional opposition has persisted, with members updating tactics but not policy-core beliefs.</w:t>
      </w:r>
    </w:p>
    <w:p w14:paraId="511E879E" w14:textId="77777777" w:rsidR="006A7303" w:rsidRDefault="00000000">
      <w:pPr>
        <w:pStyle w:val="Heading3"/>
      </w:pPr>
      <w:bookmarkStart w:id="6" w:name="discussion-questions-from-the-case-pack"/>
      <w:bookmarkEnd w:id="5"/>
      <w:r>
        <w:t>Discussion questions from the case pack</w:t>
      </w:r>
    </w:p>
    <w:p w14:paraId="1B459C35" w14:textId="77777777" w:rsidR="006A7303" w:rsidRDefault="00000000">
      <w:pPr>
        <w:numPr>
          <w:ilvl w:val="0"/>
          <w:numId w:val="13"/>
        </w:numPr>
      </w:pPr>
      <w:r>
        <w:t>Identify each coalition’s beliefs at the three tiers. Which deep-core difference, if any, separates them?</w:t>
      </w:r>
    </w:p>
    <w:p w14:paraId="58865A18" w14:textId="77777777" w:rsidR="006A7303" w:rsidRDefault="00000000">
      <w:pPr>
        <w:numPr>
          <w:ilvl w:val="0"/>
          <w:numId w:val="13"/>
        </w:numPr>
      </w:pPr>
      <w:r>
        <w:t>At the policy-core level, what is each coalition’s position on the trade-off between climate action and developmental sovereignty?</w:t>
      </w:r>
    </w:p>
    <w:p w14:paraId="353B3771" w14:textId="77777777" w:rsidR="006A7303" w:rsidRDefault="00000000">
      <w:pPr>
        <w:numPr>
          <w:ilvl w:val="0"/>
          <w:numId w:val="13"/>
        </w:numPr>
      </w:pPr>
      <w:r>
        <w:t>Which of the four pathways best explains the 2004–2008 change moment, and what does that imply for the post-2022 period?</w:t>
      </w:r>
    </w:p>
    <w:p w14:paraId="3BCAB308" w14:textId="77777777" w:rsidR="006A7303" w:rsidRDefault="00000000">
      <w:pPr>
        <w:numPr>
          <w:ilvl w:val="0"/>
          <w:numId w:val="13"/>
        </w:numPr>
      </w:pPr>
      <w:r>
        <w:rPr>
          <w:i/>
          <w:iCs/>
        </w:rPr>
        <w:t>Framework reflection:</w:t>
      </w:r>
      <w:r>
        <w:t xml:space="preserve"> does ACF fit cleanly, or would a PET frame (Amazon attention dynamics, venue shifts to international forums) or an MSF frame (the 2009 and 2015 coupling moments) do better?</w:t>
      </w:r>
    </w:p>
    <w:p w14:paraId="6A431099" w14:textId="77777777" w:rsidR="006A7303" w:rsidRDefault="00000000">
      <w:r>
        <w:br w:type="page"/>
      </w:r>
    </w:p>
    <w:p w14:paraId="29E09D7E" w14:textId="77777777" w:rsidR="006A7303" w:rsidRDefault="00000000">
      <w:pPr>
        <w:pStyle w:val="Heading1"/>
      </w:pPr>
      <w:bookmarkStart w:id="7" w:name="X508f6304beb917ddb69153392fbf86c7625199b"/>
      <w:bookmarkEnd w:id="0"/>
      <w:bookmarkEnd w:id="1"/>
      <w:bookmarkEnd w:id="6"/>
      <w:r>
        <w:lastRenderedPageBreak/>
        <w:t>Mapping an Advocacy Coalition — Worksheet</w:t>
      </w:r>
    </w:p>
    <w:p w14:paraId="2906B16F" w14:textId="77777777" w:rsidR="006A7303" w:rsidRDefault="00000000">
      <w:pPr>
        <w:pStyle w:val="Heading2"/>
      </w:pPr>
      <w:bookmarkStart w:id="8" w:name="china-climate-acf-pair-cooperative"/>
      <w:r>
        <w:t>China — Climate ACF pair (cooperative)</w:t>
      </w:r>
    </w:p>
    <w:p w14:paraId="00D1ADD2" w14:textId="77777777" w:rsidR="006A7303" w:rsidRDefault="00000000">
      <w:r>
        <w:t>IR227 Seminar 3 — Group worksheet</w:t>
      </w:r>
    </w:p>
    <w:p w14:paraId="0705F123" w14:textId="77777777" w:rsidR="006A7303" w:rsidRDefault="00000000">
      <w:pPr>
        <w:pStyle w:val="Heading3"/>
      </w:pPr>
      <w:bookmarkStart w:id="9" w:name="task-1"/>
      <w:r>
        <w:t>Task</w:t>
      </w:r>
    </w:p>
    <w:p w14:paraId="0A0086C3" w14:textId="77777777" w:rsidR="006A7303" w:rsidRDefault="00000000">
      <w:r>
        <w:t>Map the advocacy coalitions in your assigned case. Identify their three-tier belief systems. Name the broker if there is one. Explain why change has happened (or hasn’t) over the past decade. Then a brief reflection: does ACF fit cleanly, or would PET or MSF do better?</w:t>
      </w:r>
    </w:p>
    <w:p w14:paraId="513EAAE9" w14:textId="77777777" w:rsidR="006A7303" w:rsidRDefault="00000000">
      <w:pPr>
        <w:pStyle w:val="Heading3"/>
      </w:pPr>
      <w:bookmarkStart w:id="10" w:name="requirements-1"/>
      <w:bookmarkEnd w:id="9"/>
      <w:r>
        <w:t>Requirements</w:t>
      </w:r>
    </w:p>
    <w:p w14:paraId="6C2F9A73" w14:textId="77777777" w:rsidR="006A7303" w:rsidRDefault="00000000">
      <w:pPr>
        <w:numPr>
          <w:ilvl w:val="0"/>
          <w:numId w:val="14"/>
        </w:numPr>
      </w:pPr>
      <w:r>
        <w:t>name the major coalitions (typically 2–3),</w:t>
      </w:r>
    </w:p>
    <w:p w14:paraId="79452236" w14:textId="77777777" w:rsidR="006A7303" w:rsidRDefault="00000000">
      <w:pPr>
        <w:numPr>
          <w:ilvl w:val="0"/>
          <w:numId w:val="14"/>
        </w:numPr>
      </w:pPr>
      <w:r>
        <w:t>map each coalition’s beliefs at the three tiers,</w:t>
      </w:r>
    </w:p>
    <w:p w14:paraId="6C3E7C4F" w14:textId="77777777" w:rsidR="006A7303" w:rsidRDefault="00000000">
      <w:pPr>
        <w:numPr>
          <w:ilvl w:val="0"/>
          <w:numId w:val="14"/>
        </w:numPr>
      </w:pPr>
      <w:r>
        <w:t>identify a policy broker if visible,</w:t>
      </w:r>
    </w:p>
    <w:p w14:paraId="3433C4EE" w14:textId="77777777" w:rsidR="006A7303" w:rsidRDefault="00000000">
      <w:pPr>
        <w:numPr>
          <w:ilvl w:val="0"/>
          <w:numId w:val="14"/>
        </w:numPr>
      </w:pPr>
      <w:r>
        <w:t>explain change or stability through one of ACF’s four pathways, and</w:t>
      </w:r>
    </w:p>
    <w:p w14:paraId="4116BD65" w14:textId="77777777" w:rsidR="006A7303" w:rsidRDefault="00000000">
      <w:pPr>
        <w:numPr>
          <w:ilvl w:val="0"/>
          <w:numId w:val="14"/>
        </w:numPr>
      </w:pPr>
      <w:r>
        <w:t>close with a brief framework-fit reflection.</w:t>
      </w:r>
    </w:p>
    <w:p w14:paraId="206CAADA" w14:textId="77777777" w:rsidR="006A7303" w:rsidRDefault="00000000">
      <w:r>
        <w:t>Note: these cases are deliberately under-determined. There is no single correct verdict — you will be assessed on the strength of the reasoning chain (coalitions → three-tier mapping → broker → pathway → framework-fit reflection), not on which verdict you reach.</w:t>
      </w:r>
    </w:p>
    <w:p w14:paraId="03E33AE6" w14:textId="77777777" w:rsidR="006A7303" w:rsidRDefault="00000000">
      <w:pPr>
        <w:pStyle w:val="Heading3"/>
      </w:pPr>
      <w:bookmarkStart w:id="11" w:name="tool-summary-1"/>
      <w:bookmarkEnd w:id="10"/>
      <w:r>
        <w:t>Tool summary</w:t>
      </w:r>
    </w:p>
    <w:p w14:paraId="3F574AE4" w14:textId="77777777" w:rsidR="006A7303" w:rsidRDefault="00000000">
      <w:r>
        <w:rPr>
          <w:b/>
          <w:bCs/>
        </w:rPr>
        <w:t>Three-tier belief structure (Nohrstedt 2023).</w:t>
      </w:r>
      <w:r>
        <w:t xml:space="preserve"> A coalition is </w:t>
      </w:r>
      <w:r>
        <w:rPr>
          <w:i/>
          <w:iCs/>
        </w:rPr>
        <w:t>not</w:t>
      </w:r>
      <w:r>
        <w:t xml:space="preserve"> “the people who want X” — it is a group with shared policy-core beliefs, persistent over time, with coordinated activity (even if not formally organised).</w:t>
      </w:r>
    </w:p>
    <w:p w14:paraId="12E0F5A8" w14:textId="77777777" w:rsidR="006A7303" w:rsidRDefault="00000000">
      <w:pPr>
        <w:numPr>
          <w:ilvl w:val="0"/>
          <w:numId w:val="15"/>
        </w:numPr>
      </w:pPr>
      <w:r>
        <w:t>Deep core — fundamental normative commitments (liberty vs. equality, the proper role of government). Broadly philosophical and resistant to change.</w:t>
      </w:r>
    </w:p>
    <w:p w14:paraId="5B3CE5ED" w14:textId="77777777" w:rsidR="006A7303" w:rsidRDefault="00000000">
      <w:pPr>
        <w:numPr>
          <w:ilvl w:val="0"/>
          <w:numId w:val="15"/>
        </w:numPr>
      </w:pPr>
      <w:r>
        <w:t>Policy core — positions on the proper scope of government in the domain, plus causal beliefs. This is the tier coalitions actually form around.</w:t>
      </w:r>
    </w:p>
    <w:p w14:paraId="4A4DA245" w14:textId="77777777" w:rsidR="006A7303" w:rsidRDefault="00000000">
      <w:pPr>
        <w:numPr>
          <w:ilvl w:val="0"/>
          <w:numId w:val="15"/>
        </w:numPr>
      </w:pPr>
      <w:r>
        <w:t>Secondary aspects — implementation details, instruments, budgets. The most negotiable tier.</w:t>
      </w:r>
    </w:p>
    <w:p w14:paraId="1F56FD7F" w14:textId="77777777" w:rsidR="006A7303" w:rsidRDefault="00000000">
      <w:r>
        <w:rPr>
          <w:b/>
          <w:bCs/>
        </w:rPr>
        <w:t>Four pathways to policy-core change.</w:t>
      </w:r>
      <w:r>
        <w:t xml:space="preserve"> External shocks, internal shocks, accumulated evidence (via professional forums), and negotiated agreements (requiring brokers and hurting stalemates). Each predicts different observable conditions before, during, and after change — an external-shock claim needs to specify what made a coalition newly able to win, not just what changed externally.</w:t>
      </w:r>
    </w:p>
    <w:p w14:paraId="6747AF1A" w14:textId="77777777" w:rsidR="006A7303" w:rsidRDefault="00000000">
      <w:pPr>
        <w:pStyle w:val="BodyText"/>
      </w:pPr>
      <w:r>
        <w:rPr>
          <w:b/>
          <w:bCs/>
        </w:rPr>
        <w:t>Broker vs. entrepreneur.</w:t>
      </w:r>
      <w:r>
        <w:t xml:space="preserve"> A broker mediates between coalitions and does not push a position; brokers are often institutional rather than personal. An entrepreneur (MSF </w:t>
      </w:r>
      <w:r>
        <w:lastRenderedPageBreak/>
        <w:t>vocabulary) invests resources to push a particular outcome. Do not collapse the two: naming “the minister who pushed the policy” as a broker is a category error.</w:t>
      </w:r>
    </w:p>
    <w:p w14:paraId="44155A9A" w14:textId="77777777" w:rsidR="006A7303" w:rsidRDefault="00000000">
      <w:pPr>
        <w:pStyle w:val="BodyText"/>
      </w:pPr>
      <w:r>
        <w:rPr>
          <w:b/>
          <w:bCs/>
        </w:rPr>
        <w:t>Framework-fit reflection.</w:t>
      </w:r>
      <w:r>
        <w:t xml:space="preserve"> ACF is strongest where coalitions are clearly name-able, decade-stable, and belief-organised. PET is stronger where the analytical question is </w:t>
      </w:r>
      <w:r>
        <w:rPr>
          <w:i/>
          <w:iCs/>
        </w:rPr>
        <w:t>why this rhythm of stasis and punctuation</w:t>
      </w:r>
      <w:r>
        <w:t xml:space="preserve">. MSF is stronger where the question is </w:t>
      </w:r>
      <w:r>
        <w:rPr>
          <w:i/>
          <w:iCs/>
        </w:rPr>
        <w:t>what coupled at this moment</w:t>
      </w:r>
      <w:r>
        <w:t>. Picking the right framework for the question is itself an analytical skill.</w:t>
      </w:r>
    </w:p>
    <w:p w14:paraId="02419DD7" w14:textId="77777777" w:rsidR="006A7303" w:rsidRDefault="00000000">
      <w:pPr>
        <w:pStyle w:val="Heading3"/>
      </w:pPr>
      <w:bookmarkStart w:id="12" w:name="case-specifics-from-the-case-pack-1"/>
      <w:bookmarkEnd w:id="11"/>
      <w:r>
        <w:t>Case specifics (from the case pack)</w:t>
      </w:r>
    </w:p>
    <w:p w14:paraId="2A50F70E" w14:textId="77777777" w:rsidR="006A7303" w:rsidRDefault="00000000">
      <w:r>
        <w:t xml:space="preserve">China’s climate policy across the 2000–2015 period exhibits a strikingly different coalitional pattern. A state-aligned climate coalition emerged across the Ministry of Ecology and Environment, the climate units of the National Development and Reform Commission, leading state-owned enterprises in renewables (Goldwind, BYD, the major solar-PV firms), climate-attentive Party officials, and a research community at Tsinghua and CASS. A developmentalist alignment historically based in heavy-industry SOEs, coal-region governments, and parts of MIIT has been progressively absorbed rather than publicly confronted. The two coalitions sit within a shared Party-state developmentalism; the disagreement is about means rather than ends. China’s coalition strategy in this period is classified as </w:t>
      </w:r>
      <w:r>
        <w:rPr>
          <w:i/>
          <w:iCs/>
        </w:rPr>
        <w:t>cooperative</w:t>
      </w:r>
      <w:r>
        <w:t>: coalitions operate within a shared elite consensus, with disagreement mediated by Party institutions (State Council, Politburo Standing Committee) rather than expressed publicly.</w:t>
      </w:r>
    </w:p>
    <w:p w14:paraId="7F22A588" w14:textId="77777777" w:rsidR="006A7303" w:rsidRDefault="00000000">
      <w:pPr>
        <w:pStyle w:val="BodyText"/>
      </w:pPr>
      <w:r>
        <w:t>The arc has produced steady accumulation rather than dramatic shifts: the 2007 NDRC climate plan; the 2009 Copenhagen pledge; the 2015 INDC and Paris Agreement; subsequent carbon-pricing pilots and NEV mandates. Through it all, internal-pollution-driven crises (Beijing air quality 2013) have provided supporting external pressure.</w:t>
      </w:r>
    </w:p>
    <w:p w14:paraId="6F355441" w14:textId="77777777" w:rsidR="006A7303" w:rsidRDefault="00000000">
      <w:pPr>
        <w:pStyle w:val="Heading3"/>
      </w:pPr>
      <w:bookmarkStart w:id="13" w:name="X4cf3b874869529e6c61abdce607a1eefc2e0dc7"/>
      <w:bookmarkEnd w:id="12"/>
      <w:r>
        <w:t>Discussion questions from the case pack</w:t>
      </w:r>
    </w:p>
    <w:p w14:paraId="6BEE3992" w14:textId="77777777" w:rsidR="006A7303" w:rsidRDefault="00000000">
      <w:pPr>
        <w:numPr>
          <w:ilvl w:val="0"/>
          <w:numId w:val="16"/>
        </w:numPr>
      </w:pPr>
      <w:r>
        <w:t>Map the three tiers for each coalition. What does the absence of public confrontation imply for ACF’s coalition-mapping methodology?</w:t>
      </w:r>
    </w:p>
    <w:p w14:paraId="2D238EE6" w14:textId="77777777" w:rsidR="006A7303" w:rsidRDefault="00000000">
      <w:pPr>
        <w:numPr>
          <w:ilvl w:val="0"/>
          <w:numId w:val="16"/>
        </w:numPr>
      </w:pPr>
      <w:r>
        <w:t>Which of the four pathways best explains the steady accumulation of climate policy from 2007 to 2015?</w:t>
      </w:r>
    </w:p>
    <w:p w14:paraId="482DE6F2" w14:textId="77777777" w:rsidR="006A7303" w:rsidRDefault="00000000">
      <w:pPr>
        <w:numPr>
          <w:ilvl w:val="0"/>
          <w:numId w:val="16"/>
        </w:numPr>
      </w:pPr>
      <w:r>
        <w:rPr>
          <w:i/>
          <w:iCs/>
        </w:rPr>
        <w:t>Framework reflection:</w:t>
      </w:r>
      <w:r>
        <w:t xml:space="preserve"> compare to Brazil. Same archetype, opposite coalition strategies — is ACF the right framework, or does the difference between confrontational and cooperative coalition dynamics require a different theoretical frame? Where might MSF’s “leadership signalling” adaptation (from Lecture 2’s Wu and Wu) do work that ACF does not?</w:t>
      </w:r>
    </w:p>
    <w:p w14:paraId="2401A024" w14:textId="77777777" w:rsidR="006A7303" w:rsidRDefault="00000000">
      <w:r>
        <w:br w:type="page"/>
      </w:r>
    </w:p>
    <w:p w14:paraId="6D6950D4" w14:textId="77777777" w:rsidR="006A7303" w:rsidRDefault="00000000">
      <w:pPr>
        <w:pStyle w:val="Heading1"/>
      </w:pPr>
      <w:bookmarkStart w:id="14" w:name="X655d2503b7351c6329cc5c88452453e1f2f3d95"/>
      <w:bookmarkEnd w:id="7"/>
      <w:bookmarkEnd w:id="8"/>
      <w:bookmarkEnd w:id="13"/>
      <w:r>
        <w:lastRenderedPageBreak/>
        <w:t>Mapping an Advocacy Coalition — Worksheet</w:t>
      </w:r>
    </w:p>
    <w:p w14:paraId="7C4EC75A" w14:textId="77777777" w:rsidR="006A7303" w:rsidRDefault="00000000">
      <w:pPr>
        <w:pStyle w:val="Heading2"/>
      </w:pPr>
      <w:bookmarkStart w:id="15" w:name="Xe1f1eae76b1945782eb079d6ec32abdb98b4f73"/>
      <w:r>
        <w:t>EU pharmaceutical regulation — Regulatory politics pair</w:t>
      </w:r>
    </w:p>
    <w:p w14:paraId="7542CF16" w14:textId="77777777" w:rsidR="006A7303" w:rsidRDefault="00000000">
      <w:r>
        <w:t>IR227 Seminar 3 — Group worksheet</w:t>
      </w:r>
    </w:p>
    <w:p w14:paraId="1F0F87E3" w14:textId="77777777" w:rsidR="006A7303" w:rsidRDefault="00000000">
      <w:pPr>
        <w:pStyle w:val="Heading3"/>
      </w:pPr>
      <w:bookmarkStart w:id="16" w:name="task-2"/>
      <w:r>
        <w:t>Task</w:t>
      </w:r>
    </w:p>
    <w:p w14:paraId="31DCE3E9" w14:textId="77777777" w:rsidR="006A7303" w:rsidRDefault="00000000">
      <w:r>
        <w:t>Map the advocacy coalitions in your assigned case. Identify their three-tier belief systems. Name the broker if there is one. Explain why change has happened (or hasn’t) over the past decade. Then a brief reflection: does ACF fit cleanly, or would PET or MSF do better?</w:t>
      </w:r>
    </w:p>
    <w:p w14:paraId="02203053" w14:textId="77777777" w:rsidR="006A7303" w:rsidRDefault="00000000">
      <w:pPr>
        <w:pStyle w:val="Heading3"/>
      </w:pPr>
      <w:bookmarkStart w:id="17" w:name="requirements-2"/>
      <w:bookmarkEnd w:id="16"/>
      <w:r>
        <w:t>Requirements</w:t>
      </w:r>
    </w:p>
    <w:p w14:paraId="27EA88FD" w14:textId="77777777" w:rsidR="006A7303" w:rsidRDefault="00000000">
      <w:pPr>
        <w:numPr>
          <w:ilvl w:val="0"/>
          <w:numId w:val="17"/>
        </w:numPr>
      </w:pPr>
      <w:r>
        <w:t>name the major coalitions (typically 2–3),</w:t>
      </w:r>
    </w:p>
    <w:p w14:paraId="6B962B86" w14:textId="77777777" w:rsidR="006A7303" w:rsidRDefault="00000000">
      <w:pPr>
        <w:numPr>
          <w:ilvl w:val="0"/>
          <w:numId w:val="17"/>
        </w:numPr>
      </w:pPr>
      <w:r>
        <w:t>map each coalition’s beliefs at the three tiers,</w:t>
      </w:r>
    </w:p>
    <w:p w14:paraId="7B10ADCF" w14:textId="77777777" w:rsidR="006A7303" w:rsidRDefault="00000000">
      <w:pPr>
        <w:numPr>
          <w:ilvl w:val="0"/>
          <w:numId w:val="17"/>
        </w:numPr>
      </w:pPr>
      <w:r>
        <w:t>identify a policy broker if visible,</w:t>
      </w:r>
    </w:p>
    <w:p w14:paraId="49E8E166" w14:textId="77777777" w:rsidR="006A7303" w:rsidRDefault="00000000">
      <w:pPr>
        <w:numPr>
          <w:ilvl w:val="0"/>
          <w:numId w:val="17"/>
        </w:numPr>
      </w:pPr>
      <w:r>
        <w:t>explain change or stability through one of ACF’s four pathways, and</w:t>
      </w:r>
    </w:p>
    <w:p w14:paraId="061BE1FF" w14:textId="77777777" w:rsidR="006A7303" w:rsidRDefault="00000000">
      <w:pPr>
        <w:numPr>
          <w:ilvl w:val="0"/>
          <w:numId w:val="17"/>
        </w:numPr>
      </w:pPr>
      <w:r>
        <w:t>close with a brief framework-fit reflection.</w:t>
      </w:r>
    </w:p>
    <w:p w14:paraId="76B9A23D" w14:textId="77777777" w:rsidR="006A7303" w:rsidRDefault="00000000">
      <w:r>
        <w:t>Note: these cases are deliberately under-determined. There is no single correct verdict — you will be assessed on the strength of the reasoning chain (coalitions → three-tier mapping → broker → pathway → framework-fit reflection), not on which verdict you reach.</w:t>
      </w:r>
    </w:p>
    <w:p w14:paraId="4A91FD9D" w14:textId="77777777" w:rsidR="006A7303" w:rsidRDefault="00000000">
      <w:pPr>
        <w:pStyle w:val="Heading3"/>
      </w:pPr>
      <w:bookmarkStart w:id="18" w:name="tool-summary-2"/>
      <w:bookmarkEnd w:id="17"/>
      <w:r>
        <w:t>Tool summary</w:t>
      </w:r>
    </w:p>
    <w:p w14:paraId="5DBB48D3" w14:textId="77777777" w:rsidR="006A7303" w:rsidRDefault="00000000">
      <w:r>
        <w:rPr>
          <w:b/>
          <w:bCs/>
        </w:rPr>
        <w:t>Three-tier belief structure (Nohrstedt 2023).</w:t>
      </w:r>
      <w:r>
        <w:t xml:space="preserve"> A coalition is </w:t>
      </w:r>
      <w:r>
        <w:rPr>
          <w:i/>
          <w:iCs/>
        </w:rPr>
        <w:t>not</w:t>
      </w:r>
      <w:r>
        <w:t xml:space="preserve"> “the people who want X” — it is a group with shared policy-core beliefs, persistent over time, with coordinated activity (even if not formally organised).</w:t>
      </w:r>
    </w:p>
    <w:p w14:paraId="74E5A9DB" w14:textId="77777777" w:rsidR="006A7303" w:rsidRDefault="00000000">
      <w:pPr>
        <w:numPr>
          <w:ilvl w:val="0"/>
          <w:numId w:val="18"/>
        </w:numPr>
      </w:pPr>
      <w:r>
        <w:t>Deep core — fundamental normative commitments (liberty vs. equality, the proper role of government). Broadly philosophical and resistant to change.</w:t>
      </w:r>
    </w:p>
    <w:p w14:paraId="29B22348" w14:textId="77777777" w:rsidR="006A7303" w:rsidRDefault="00000000">
      <w:pPr>
        <w:numPr>
          <w:ilvl w:val="0"/>
          <w:numId w:val="18"/>
        </w:numPr>
      </w:pPr>
      <w:r>
        <w:t>Policy core — positions on the proper scope of government in the domain, plus causal beliefs. This is the tier coalitions actually form around.</w:t>
      </w:r>
    </w:p>
    <w:p w14:paraId="32004A36" w14:textId="77777777" w:rsidR="006A7303" w:rsidRDefault="00000000">
      <w:pPr>
        <w:numPr>
          <w:ilvl w:val="0"/>
          <w:numId w:val="18"/>
        </w:numPr>
      </w:pPr>
      <w:r>
        <w:t>Secondary aspects — implementation details, instruments, budgets. The most negotiable tier.</w:t>
      </w:r>
    </w:p>
    <w:p w14:paraId="502BD747" w14:textId="77777777" w:rsidR="006A7303" w:rsidRDefault="00000000">
      <w:r>
        <w:rPr>
          <w:b/>
          <w:bCs/>
        </w:rPr>
        <w:t>Four pathways to policy-core change.</w:t>
      </w:r>
      <w:r>
        <w:t xml:space="preserve"> External shocks, internal shocks, accumulated evidence (via professional forums), and negotiated agreements (requiring brokers and hurting stalemates). Each predicts different observable conditions before, during, and after change — an external-shock claim needs to specify what made a coalition newly able to win, not just what changed externally.</w:t>
      </w:r>
    </w:p>
    <w:p w14:paraId="3CEE9A95" w14:textId="77777777" w:rsidR="006A7303" w:rsidRDefault="00000000">
      <w:pPr>
        <w:pStyle w:val="BodyText"/>
      </w:pPr>
      <w:r>
        <w:rPr>
          <w:b/>
          <w:bCs/>
        </w:rPr>
        <w:t>Broker vs. entrepreneur.</w:t>
      </w:r>
      <w:r>
        <w:t xml:space="preserve"> A broker mediates between coalitions and does not push a position; brokers are often institutional rather than personal. An entrepreneur (MSF </w:t>
      </w:r>
      <w:r>
        <w:lastRenderedPageBreak/>
        <w:t>vocabulary) invests resources to push a particular outcome. Do not collapse the two: naming “the minister who pushed the policy” as a broker is a category error.</w:t>
      </w:r>
    </w:p>
    <w:p w14:paraId="28AD0D2A" w14:textId="77777777" w:rsidR="006A7303" w:rsidRDefault="00000000">
      <w:pPr>
        <w:pStyle w:val="BodyText"/>
      </w:pPr>
      <w:r>
        <w:rPr>
          <w:b/>
          <w:bCs/>
        </w:rPr>
        <w:t>Framework-fit reflection.</w:t>
      </w:r>
      <w:r>
        <w:t xml:space="preserve"> ACF is strongest where coalitions are clearly name-able, decade-stable, and belief-organised. PET is stronger where the analytical question is </w:t>
      </w:r>
      <w:r>
        <w:rPr>
          <w:i/>
          <w:iCs/>
        </w:rPr>
        <w:t>why this rhythm of stasis and punctuation</w:t>
      </w:r>
      <w:r>
        <w:t xml:space="preserve">. MSF is stronger where the question is </w:t>
      </w:r>
      <w:r>
        <w:rPr>
          <w:i/>
          <w:iCs/>
        </w:rPr>
        <w:t>what coupled at this moment</w:t>
      </w:r>
      <w:r>
        <w:t>. Picking the right framework for the question is itself an analytical skill.</w:t>
      </w:r>
    </w:p>
    <w:p w14:paraId="11DEBF3B" w14:textId="77777777" w:rsidR="006A7303" w:rsidRDefault="00000000">
      <w:pPr>
        <w:pStyle w:val="Heading3"/>
      </w:pPr>
      <w:bookmarkStart w:id="19" w:name="case-specifics-from-the-case-pack-2"/>
      <w:bookmarkEnd w:id="18"/>
      <w:r>
        <w:t>Case specifics (from the case pack)</w:t>
      </w:r>
    </w:p>
    <w:p w14:paraId="295AEC0A" w14:textId="77777777" w:rsidR="006A7303" w:rsidRDefault="00000000">
      <w:r>
        <w:t>For two decades, EU pharmaceutical regulation has hosted a contested debate over direct-to-consumer advertising of prescription drugs (DTCA-PD) — legal in the United States, prohibited in the EU. An anti-DTCA-PD coalition consolidated through the 2000s and 2010s, drawing on member-state public-health authorities, consumer-protection NGOs, generic-pharma manufacturers, the European Public Health Alliance, and key MEPs from health-portfolio committees. A pro-DTCA-PD coalition aligned across major innovator pharmaceutical manufacturers (the EFPIA membership), parts of the Commission’s DG ENTR (now DG GROW), allied trade associations, and segments of patient organisations funded by industry. The case is best read as one of coalition success via control of governmental units rather than via overall resource superiority: the pro-DTCA-PD coalition had more resources but lost control of the regulatory body.</w:t>
      </w:r>
    </w:p>
    <w:p w14:paraId="201DF88D" w14:textId="77777777" w:rsidR="006A7303" w:rsidRDefault="00000000">
      <w:pPr>
        <w:pStyle w:val="BodyText"/>
      </w:pPr>
      <w:r>
        <w:t>The pro-DTCA-PD coalition’s repeated attempts to push EU rules toward the US model have failed. The anti-coalition’s success rested on the EU’s multi-level competence structure: member-state health ministries had treaty-based authority over the question, and the Commission could not unilaterally override.</w:t>
      </w:r>
    </w:p>
    <w:p w14:paraId="38D5068D" w14:textId="77777777" w:rsidR="006A7303" w:rsidRDefault="00000000">
      <w:pPr>
        <w:pStyle w:val="Heading3"/>
      </w:pPr>
      <w:bookmarkStart w:id="20" w:name="Xabfd89b0020d7dd201e80d11d06c98b246a20ef"/>
      <w:bookmarkEnd w:id="19"/>
      <w:r>
        <w:t>Discussion questions from the case pack</w:t>
      </w:r>
    </w:p>
    <w:p w14:paraId="5F691415" w14:textId="77777777" w:rsidR="006A7303" w:rsidRDefault="00000000">
      <w:pPr>
        <w:numPr>
          <w:ilvl w:val="0"/>
          <w:numId w:val="19"/>
        </w:numPr>
      </w:pPr>
      <w:r>
        <w:t>Identify each coalition’s policy-core beliefs about the proper relationship between pharmaceutical industry and patient information.</w:t>
      </w:r>
    </w:p>
    <w:p w14:paraId="5D3440B2" w14:textId="77777777" w:rsidR="006A7303" w:rsidRDefault="00000000">
      <w:pPr>
        <w:numPr>
          <w:ilvl w:val="0"/>
          <w:numId w:val="19"/>
        </w:numPr>
      </w:pPr>
      <w:r>
        <w:t>What does “control of governmental units” mean in EU multi-level governance, and how does it relate to ACF’s resource-based theory of coalition success?</w:t>
      </w:r>
    </w:p>
    <w:p w14:paraId="38A2C90D" w14:textId="77777777" w:rsidR="006A7303" w:rsidRDefault="00000000">
      <w:pPr>
        <w:numPr>
          <w:ilvl w:val="0"/>
          <w:numId w:val="19"/>
        </w:numPr>
      </w:pPr>
      <w:r>
        <w:t>Which of the four pathways explains the failure of the pro-DTCA-PD coalition’s repeated change attempts?</w:t>
      </w:r>
    </w:p>
    <w:p w14:paraId="5807D023" w14:textId="77777777" w:rsidR="006A7303" w:rsidRDefault="00000000">
      <w:pPr>
        <w:numPr>
          <w:ilvl w:val="0"/>
          <w:numId w:val="19"/>
        </w:numPr>
      </w:pPr>
      <w:r>
        <w:rPr>
          <w:i/>
          <w:iCs/>
        </w:rPr>
        <w:t>Framework reflection:</w:t>
      </w:r>
      <w:r>
        <w:t xml:space="preserve"> would a PET frame (the EU’s regulatory venue structure, image management) capture something ACF misses? Or does MSF’s coupling concept apply?</w:t>
      </w:r>
    </w:p>
    <w:p w14:paraId="3EC8B571" w14:textId="77777777" w:rsidR="006A7303" w:rsidRDefault="00000000">
      <w:r>
        <w:br w:type="page"/>
      </w:r>
    </w:p>
    <w:p w14:paraId="34E58B04" w14:textId="77777777" w:rsidR="006A7303" w:rsidRDefault="00000000">
      <w:pPr>
        <w:pStyle w:val="Heading1"/>
      </w:pPr>
      <w:bookmarkStart w:id="21" w:name="X38bcdfff5274091b6ea26db55cfe79127b8fa48"/>
      <w:bookmarkEnd w:id="14"/>
      <w:bookmarkEnd w:id="15"/>
      <w:bookmarkEnd w:id="20"/>
      <w:r>
        <w:lastRenderedPageBreak/>
        <w:t>Mapping an Advocacy Coalition — Worksheet</w:t>
      </w:r>
    </w:p>
    <w:p w14:paraId="6512DF8F" w14:textId="77777777" w:rsidR="006A7303" w:rsidRDefault="00000000">
      <w:pPr>
        <w:pStyle w:val="Heading2"/>
      </w:pPr>
      <w:bookmarkStart w:id="22" w:name="Xfb491a1d2051029c048254c1a3f6d478c635a67"/>
      <w:r>
        <w:t>China’s birth-control policy — Regulatory politics pair</w:t>
      </w:r>
    </w:p>
    <w:p w14:paraId="20175940" w14:textId="77777777" w:rsidR="006A7303" w:rsidRDefault="00000000">
      <w:r>
        <w:t>IR227 Seminar 3 — Group worksheet</w:t>
      </w:r>
    </w:p>
    <w:p w14:paraId="3AC7C018" w14:textId="77777777" w:rsidR="006A7303" w:rsidRDefault="00000000">
      <w:pPr>
        <w:pStyle w:val="Heading3"/>
      </w:pPr>
      <w:bookmarkStart w:id="23" w:name="task-3"/>
      <w:r>
        <w:t>Task</w:t>
      </w:r>
    </w:p>
    <w:p w14:paraId="1C213C60" w14:textId="77777777" w:rsidR="006A7303" w:rsidRDefault="00000000">
      <w:r>
        <w:t>Map the advocacy coalitions in your assigned case. Identify their three-tier belief systems. Name the broker if there is one. Explain why change has happened (or hasn’t) over the past decade. Then a brief reflection: does ACF fit cleanly, or would PET or MSF do better?</w:t>
      </w:r>
    </w:p>
    <w:p w14:paraId="4215F8AE" w14:textId="77777777" w:rsidR="006A7303" w:rsidRDefault="00000000">
      <w:pPr>
        <w:pStyle w:val="Heading3"/>
      </w:pPr>
      <w:bookmarkStart w:id="24" w:name="requirements-3"/>
      <w:bookmarkEnd w:id="23"/>
      <w:r>
        <w:t>Requirements</w:t>
      </w:r>
    </w:p>
    <w:p w14:paraId="5FF201D4" w14:textId="77777777" w:rsidR="006A7303" w:rsidRDefault="00000000">
      <w:pPr>
        <w:numPr>
          <w:ilvl w:val="0"/>
          <w:numId w:val="20"/>
        </w:numPr>
      </w:pPr>
      <w:r>
        <w:t>name the major coalitions (typically 2–3),</w:t>
      </w:r>
    </w:p>
    <w:p w14:paraId="623CFAF4" w14:textId="77777777" w:rsidR="006A7303" w:rsidRDefault="00000000">
      <w:pPr>
        <w:numPr>
          <w:ilvl w:val="0"/>
          <w:numId w:val="20"/>
        </w:numPr>
      </w:pPr>
      <w:r>
        <w:t>map each coalition’s beliefs at the three tiers,</w:t>
      </w:r>
    </w:p>
    <w:p w14:paraId="587453C8" w14:textId="77777777" w:rsidR="006A7303" w:rsidRDefault="00000000">
      <w:pPr>
        <w:numPr>
          <w:ilvl w:val="0"/>
          <w:numId w:val="20"/>
        </w:numPr>
      </w:pPr>
      <w:r>
        <w:t>identify a policy broker if visible,</w:t>
      </w:r>
    </w:p>
    <w:p w14:paraId="01BF0424" w14:textId="77777777" w:rsidR="006A7303" w:rsidRDefault="00000000">
      <w:pPr>
        <w:numPr>
          <w:ilvl w:val="0"/>
          <w:numId w:val="20"/>
        </w:numPr>
      </w:pPr>
      <w:r>
        <w:t>explain change or stability through one of ACF’s four pathways, and</w:t>
      </w:r>
    </w:p>
    <w:p w14:paraId="180E7C72" w14:textId="77777777" w:rsidR="006A7303" w:rsidRDefault="00000000">
      <w:pPr>
        <w:numPr>
          <w:ilvl w:val="0"/>
          <w:numId w:val="20"/>
        </w:numPr>
      </w:pPr>
      <w:r>
        <w:t>close with a brief framework-fit reflection.</w:t>
      </w:r>
    </w:p>
    <w:p w14:paraId="7EC8F110" w14:textId="77777777" w:rsidR="006A7303" w:rsidRDefault="00000000">
      <w:r>
        <w:t>Note: these cases are deliberately under-determined. There is no single correct verdict — you will be assessed on the strength of the reasoning chain (coalitions → three-tier mapping → broker → pathway → framework-fit reflection), not on which verdict you reach.</w:t>
      </w:r>
    </w:p>
    <w:p w14:paraId="7DD4E6DF" w14:textId="77777777" w:rsidR="006A7303" w:rsidRDefault="00000000">
      <w:pPr>
        <w:pStyle w:val="Heading3"/>
      </w:pPr>
      <w:bookmarkStart w:id="25" w:name="tool-summary-3"/>
      <w:bookmarkEnd w:id="24"/>
      <w:r>
        <w:t>Tool summary</w:t>
      </w:r>
    </w:p>
    <w:p w14:paraId="6BAA0726" w14:textId="77777777" w:rsidR="006A7303" w:rsidRDefault="00000000">
      <w:r>
        <w:rPr>
          <w:b/>
          <w:bCs/>
        </w:rPr>
        <w:t>Three-tier belief structure (Nohrstedt 2023).</w:t>
      </w:r>
      <w:r>
        <w:t xml:space="preserve"> A coalition is </w:t>
      </w:r>
      <w:r>
        <w:rPr>
          <w:i/>
          <w:iCs/>
        </w:rPr>
        <w:t>not</w:t>
      </w:r>
      <w:r>
        <w:t xml:space="preserve"> “the people who want X” — it is a group with shared policy-core beliefs, persistent over time, with coordinated activity (even if not formally organised).</w:t>
      </w:r>
    </w:p>
    <w:p w14:paraId="74E12CAB" w14:textId="77777777" w:rsidR="006A7303" w:rsidRDefault="00000000">
      <w:pPr>
        <w:numPr>
          <w:ilvl w:val="0"/>
          <w:numId w:val="21"/>
        </w:numPr>
      </w:pPr>
      <w:r>
        <w:t>Deep core — fundamental normative commitments (liberty vs. equality, the proper role of government). Broadly philosophical and resistant to change.</w:t>
      </w:r>
    </w:p>
    <w:p w14:paraId="7D7BA3AA" w14:textId="77777777" w:rsidR="006A7303" w:rsidRDefault="00000000">
      <w:pPr>
        <w:numPr>
          <w:ilvl w:val="0"/>
          <w:numId w:val="21"/>
        </w:numPr>
      </w:pPr>
      <w:r>
        <w:t>Policy core — positions on the proper scope of government in the domain, plus causal beliefs. This is the tier coalitions actually form around.</w:t>
      </w:r>
    </w:p>
    <w:p w14:paraId="0B42A13B" w14:textId="77777777" w:rsidR="006A7303" w:rsidRDefault="00000000">
      <w:pPr>
        <w:numPr>
          <w:ilvl w:val="0"/>
          <w:numId w:val="21"/>
        </w:numPr>
      </w:pPr>
      <w:r>
        <w:t>Secondary aspects — implementation details, instruments, budgets. The most negotiable tier.</w:t>
      </w:r>
    </w:p>
    <w:p w14:paraId="162FFA46" w14:textId="77777777" w:rsidR="006A7303" w:rsidRDefault="00000000">
      <w:r>
        <w:rPr>
          <w:b/>
          <w:bCs/>
        </w:rPr>
        <w:t>Four pathways to policy-core change.</w:t>
      </w:r>
      <w:r>
        <w:t xml:space="preserve"> External shocks, internal shocks, accumulated evidence (via professional forums), and negotiated agreements (requiring brokers and hurting stalemates). Each predicts different observable conditions before, during, and after change — an external-shock claim needs to specify what made a coalition newly able to win, not just what changed externally.</w:t>
      </w:r>
    </w:p>
    <w:p w14:paraId="49A11EDA" w14:textId="77777777" w:rsidR="006A7303" w:rsidRDefault="00000000">
      <w:pPr>
        <w:pStyle w:val="BodyText"/>
      </w:pPr>
      <w:r>
        <w:rPr>
          <w:b/>
          <w:bCs/>
        </w:rPr>
        <w:t>Broker vs. entrepreneur.</w:t>
      </w:r>
      <w:r>
        <w:t xml:space="preserve"> A broker mediates between coalitions and does not push a position; brokers are often institutional rather than personal. An entrepreneur (MSF </w:t>
      </w:r>
      <w:r>
        <w:lastRenderedPageBreak/>
        <w:t>vocabulary) invests resources to push a particular outcome. Do not collapse the two: naming “the minister who pushed the policy” as a broker is a category error.</w:t>
      </w:r>
    </w:p>
    <w:p w14:paraId="45297FB7" w14:textId="77777777" w:rsidR="006A7303" w:rsidRDefault="00000000">
      <w:pPr>
        <w:pStyle w:val="BodyText"/>
      </w:pPr>
      <w:r>
        <w:rPr>
          <w:b/>
          <w:bCs/>
        </w:rPr>
        <w:t>Framework-fit reflection.</w:t>
      </w:r>
      <w:r>
        <w:t xml:space="preserve"> ACF is strongest where coalitions are clearly name-able, decade-stable, and belief-organised. PET is stronger where the analytical question is </w:t>
      </w:r>
      <w:r>
        <w:rPr>
          <w:i/>
          <w:iCs/>
        </w:rPr>
        <w:t>why this rhythm of stasis and punctuation</w:t>
      </w:r>
      <w:r>
        <w:t xml:space="preserve">. MSF is stronger where the question is </w:t>
      </w:r>
      <w:r>
        <w:rPr>
          <w:i/>
          <w:iCs/>
        </w:rPr>
        <w:t>what coupled at this moment</w:t>
      </w:r>
      <w:r>
        <w:t>. Picking the right framework for the question is itself an analytical skill.</w:t>
      </w:r>
    </w:p>
    <w:p w14:paraId="6415663F" w14:textId="77777777" w:rsidR="006A7303" w:rsidRDefault="00000000">
      <w:pPr>
        <w:pStyle w:val="Heading3"/>
      </w:pPr>
      <w:bookmarkStart w:id="26" w:name="case-specifics-from-the-case-pack-3"/>
      <w:bookmarkEnd w:id="25"/>
      <w:r>
        <w:t>Case specifics (from the case pack)</w:t>
      </w:r>
    </w:p>
    <w:p w14:paraId="240065C4" w14:textId="77777777" w:rsidR="006A7303" w:rsidRDefault="00000000">
      <w:r>
        <w:t>China’s birth-control policy is a textbook ACF case in an authoritarian setting. A dominant coalition maintained the one-child policy from 1980 through roughly 2013, drawing on the National Population and Family Planning Commission, allied research institutions (the China Population Research Center), the Ministry of Health, and major segments of Party machinery. Minority coalitions emerged from the late 1990s: demographic researchers concerned about ageing; women’s-rights advocates; parts of the academic-economist community arguing that the policy was now generating significant inter-temporal costs. The case shows 30 years of stability via dominant-coalition resource mobilisation, followed by gradual change in 2013 and 2015 once minority-coalition advocacy combined with internal and external perturbations.</w:t>
      </w:r>
    </w:p>
    <w:p w14:paraId="3E4CD2BD" w14:textId="77777777" w:rsidR="006A7303" w:rsidRDefault="00000000">
      <w:pPr>
        <w:pStyle w:val="BodyText"/>
      </w:pPr>
      <w:r>
        <w:t>The arc shows ACF’s basic postulates working in an authoritarian context: coalitions form around shared policy-core beliefs (population control as national-security issue vs population structure as developmental constraint); they persist for decades; they engage in policy-oriented learning, with the State Council functioning as institutional broker. Major change came in 2013 (selective two-child policy) and 2015 (universal two-child policy), with subsequent further relaxation in 2021 (universal three-child).</w:t>
      </w:r>
    </w:p>
    <w:p w14:paraId="243D81E4" w14:textId="77777777" w:rsidR="006A7303" w:rsidRDefault="00000000">
      <w:pPr>
        <w:pStyle w:val="Heading3"/>
      </w:pPr>
      <w:bookmarkStart w:id="27" w:name="X3132ccfbd4a825aee823f86eb155173dcf9a708"/>
      <w:bookmarkEnd w:id="26"/>
      <w:r>
        <w:t>Discussion questions from the case pack</w:t>
      </w:r>
    </w:p>
    <w:p w14:paraId="66ACCA83" w14:textId="77777777" w:rsidR="006A7303" w:rsidRDefault="00000000">
      <w:pPr>
        <w:numPr>
          <w:ilvl w:val="0"/>
          <w:numId w:val="22"/>
        </w:numPr>
      </w:pPr>
      <w:r>
        <w:t>Map the three tiers for the dominant and minority coalitions.</w:t>
      </w:r>
    </w:p>
    <w:p w14:paraId="0DE1F6C2" w14:textId="77777777" w:rsidR="006A7303" w:rsidRDefault="00000000">
      <w:pPr>
        <w:numPr>
          <w:ilvl w:val="0"/>
          <w:numId w:val="22"/>
        </w:numPr>
      </w:pPr>
      <w:r>
        <w:t xml:space="preserve">What does it mean for ACF’s assumption of an </w:t>
      </w:r>
      <w:r>
        <w:rPr>
          <w:i/>
          <w:iCs/>
        </w:rPr>
        <w:t>open subsystem with multiple competing coalitions</w:t>
      </w:r>
      <w:r>
        <w:t xml:space="preserve"> that the relevant participants in this case were largely confined to expert and Party networks — do coalitions form meaningfully within the constraints of Party-state structure, or does the framework need substantial adaptation here?</w:t>
      </w:r>
    </w:p>
    <w:p w14:paraId="30C42AEC" w14:textId="77777777" w:rsidR="006A7303" w:rsidRDefault="00000000">
      <w:pPr>
        <w:numPr>
          <w:ilvl w:val="0"/>
          <w:numId w:val="22"/>
        </w:numPr>
      </w:pPr>
      <w:r>
        <w:t>Which of the four pathways best explains the 2013 and 2015 changes — accumulated evidence, internal shocks, or some combination?</w:t>
      </w:r>
    </w:p>
    <w:p w14:paraId="70AF6D48" w14:textId="77777777" w:rsidR="006A7303" w:rsidRDefault="00000000">
      <w:pPr>
        <w:numPr>
          <w:ilvl w:val="0"/>
          <w:numId w:val="22"/>
        </w:numPr>
      </w:pPr>
      <w:r>
        <w:rPr>
          <w:i/>
          <w:iCs/>
        </w:rPr>
        <w:t>Framework reflection:</w:t>
      </w:r>
      <w:r>
        <w:t xml:space="preserve"> compare to the EU pharma case. Same archetype (regulatory politics with contested policy-core), very different political systems — where does ACF need adaptation in each, and what does the contrast tell you about the framework’s portability?</w:t>
      </w:r>
    </w:p>
    <w:p w14:paraId="15006349" w14:textId="77777777" w:rsidR="006A7303" w:rsidRDefault="00000000">
      <w:r>
        <w:br w:type="page"/>
      </w:r>
    </w:p>
    <w:p w14:paraId="4AEDB25F" w14:textId="77777777" w:rsidR="006A7303" w:rsidRDefault="00000000">
      <w:pPr>
        <w:pStyle w:val="Heading1"/>
      </w:pPr>
      <w:bookmarkStart w:id="28" w:name="X40422d268846814c76ef358e15dfa4afd604cd2"/>
      <w:bookmarkEnd w:id="21"/>
      <w:bookmarkEnd w:id="22"/>
      <w:bookmarkEnd w:id="27"/>
      <w:r>
        <w:lastRenderedPageBreak/>
        <w:t>Mapping an Advocacy Coalition — Worksheet</w:t>
      </w:r>
    </w:p>
    <w:p w14:paraId="1BE0D1F6" w14:textId="77777777" w:rsidR="006A7303" w:rsidRDefault="00000000">
      <w:pPr>
        <w:pStyle w:val="Heading2"/>
      </w:pPr>
      <w:bookmarkStart w:id="29" w:name="brazils-bolsa-família-cash-transfer-pair"/>
      <w:r>
        <w:t>Brazil’s Bolsa Família — Cash-transfer pair</w:t>
      </w:r>
    </w:p>
    <w:p w14:paraId="1AE38FFA" w14:textId="77777777" w:rsidR="006A7303" w:rsidRDefault="00000000">
      <w:r>
        <w:t>IR227 Seminar 3 — Group worksheet</w:t>
      </w:r>
    </w:p>
    <w:p w14:paraId="271739D8" w14:textId="77777777" w:rsidR="006A7303" w:rsidRDefault="00000000">
      <w:pPr>
        <w:pStyle w:val="Heading3"/>
      </w:pPr>
      <w:bookmarkStart w:id="30" w:name="task-4"/>
      <w:r>
        <w:t>Task</w:t>
      </w:r>
    </w:p>
    <w:p w14:paraId="4112ED02" w14:textId="77777777" w:rsidR="006A7303" w:rsidRDefault="00000000">
      <w:r>
        <w:t>Map the advocacy coalitions in your assigned case. Identify their three-tier belief systems. Name the broker if there is one. Explain why change has happened (or hasn’t) over the past decade. Then a brief reflection: does ACF fit cleanly, or would PET or MSF do better?</w:t>
      </w:r>
    </w:p>
    <w:p w14:paraId="0E1B41E4" w14:textId="77777777" w:rsidR="006A7303" w:rsidRDefault="00000000">
      <w:pPr>
        <w:pStyle w:val="Heading3"/>
      </w:pPr>
      <w:bookmarkStart w:id="31" w:name="requirements-4"/>
      <w:bookmarkEnd w:id="30"/>
      <w:r>
        <w:t>Requirements</w:t>
      </w:r>
    </w:p>
    <w:p w14:paraId="46BB8B57" w14:textId="77777777" w:rsidR="006A7303" w:rsidRDefault="00000000">
      <w:pPr>
        <w:numPr>
          <w:ilvl w:val="0"/>
          <w:numId w:val="23"/>
        </w:numPr>
      </w:pPr>
      <w:r>
        <w:t>name the major coalitions (typically 2–3),</w:t>
      </w:r>
    </w:p>
    <w:p w14:paraId="23DD5556" w14:textId="77777777" w:rsidR="006A7303" w:rsidRDefault="00000000">
      <w:pPr>
        <w:numPr>
          <w:ilvl w:val="0"/>
          <w:numId w:val="23"/>
        </w:numPr>
      </w:pPr>
      <w:r>
        <w:t>map each coalition’s beliefs at the three tiers,</w:t>
      </w:r>
    </w:p>
    <w:p w14:paraId="7D1F77B7" w14:textId="77777777" w:rsidR="006A7303" w:rsidRDefault="00000000">
      <w:pPr>
        <w:numPr>
          <w:ilvl w:val="0"/>
          <w:numId w:val="23"/>
        </w:numPr>
      </w:pPr>
      <w:r>
        <w:t>identify a policy broker if visible,</w:t>
      </w:r>
    </w:p>
    <w:p w14:paraId="3B409F84" w14:textId="77777777" w:rsidR="006A7303" w:rsidRDefault="00000000">
      <w:pPr>
        <w:numPr>
          <w:ilvl w:val="0"/>
          <w:numId w:val="23"/>
        </w:numPr>
      </w:pPr>
      <w:r>
        <w:t>explain change or stability through one of ACF’s four pathways, and</w:t>
      </w:r>
    </w:p>
    <w:p w14:paraId="3934647E" w14:textId="77777777" w:rsidR="006A7303" w:rsidRDefault="00000000">
      <w:pPr>
        <w:numPr>
          <w:ilvl w:val="0"/>
          <w:numId w:val="23"/>
        </w:numPr>
      </w:pPr>
      <w:r>
        <w:t>close with a brief framework-fit reflection.</w:t>
      </w:r>
    </w:p>
    <w:p w14:paraId="2A0011F0" w14:textId="77777777" w:rsidR="006A7303" w:rsidRDefault="00000000">
      <w:r>
        <w:t>Note: these cases are deliberately under-determined. There is no single correct verdict — you will be assessed on the strength of the reasoning chain (coalitions → three-tier mapping → broker → pathway → framework-fit reflection), not on which verdict you reach.</w:t>
      </w:r>
    </w:p>
    <w:p w14:paraId="5FBCE7B2" w14:textId="77777777" w:rsidR="006A7303" w:rsidRDefault="00000000">
      <w:pPr>
        <w:pStyle w:val="Heading3"/>
      </w:pPr>
      <w:bookmarkStart w:id="32" w:name="tool-summary-4"/>
      <w:bookmarkEnd w:id="31"/>
      <w:r>
        <w:t>Tool summary</w:t>
      </w:r>
    </w:p>
    <w:p w14:paraId="6D118AC0" w14:textId="77777777" w:rsidR="006A7303" w:rsidRDefault="00000000">
      <w:r>
        <w:rPr>
          <w:b/>
          <w:bCs/>
        </w:rPr>
        <w:t>Three-tier belief structure (Nohrstedt 2023).</w:t>
      </w:r>
      <w:r>
        <w:t xml:space="preserve"> A coalition is </w:t>
      </w:r>
      <w:r>
        <w:rPr>
          <w:i/>
          <w:iCs/>
        </w:rPr>
        <w:t>not</w:t>
      </w:r>
      <w:r>
        <w:t xml:space="preserve"> “the people who want X” — it is a group with shared policy-core beliefs, persistent over time, with coordinated activity (even if not formally organised).</w:t>
      </w:r>
    </w:p>
    <w:p w14:paraId="5504E7F4" w14:textId="77777777" w:rsidR="006A7303" w:rsidRDefault="00000000">
      <w:pPr>
        <w:numPr>
          <w:ilvl w:val="0"/>
          <w:numId w:val="24"/>
        </w:numPr>
      </w:pPr>
      <w:r>
        <w:t>Deep core — fundamental normative commitments (liberty vs. equality, the proper role of government). Broadly philosophical and resistant to change.</w:t>
      </w:r>
    </w:p>
    <w:p w14:paraId="38434D63" w14:textId="77777777" w:rsidR="006A7303" w:rsidRDefault="00000000">
      <w:pPr>
        <w:numPr>
          <w:ilvl w:val="0"/>
          <w:numId w:val="24"/>
        </w:numPr>
      </w:pPr>
      <w:r>
        <w:t>Policy core — positions on the proper scope of government in the domain, plus causal beliefs. This is the tier coalitions actually form around.</w:t>
      </w:r>
    </w:p>
    <w:p w14:paraId="08FCAF54" w14:textId="77777777" w:rsidR="006A7303" w:rsidRDefault="00000000">
      <w:pPr>
        <w:numPr>
          <w:ilvl w:val="0"/>
          <w:numId w:val="24"/>
        </w:numPr>
      </w:pPr>
      <w:r>
        <w:t>Secondary aspects — implementation details, instruments, budgets. The most negotiable tier.</w:t>
      </w:r>
    </w:p>
    <w:p w14:paraId="60DECD41" w14:textId="77777777" w:rsidR="006A7303" w:rsidRDefault="00000000">
      <w:r>
        <w:rPr>
          <w:b/>
          <w:bCs/>
        </w:rPr>
        <w:t>Four pathways to policy-core change.</w:t>
      </w:r>
      <w:r>
        <w:t xml:space="preserve"> External shocks, internal shocks, accumulated evidence (via professional forums), and negotiated agreements (requiring brokers and hurting stalemates). Each predicts different observable conditions before, during, and after change — an external-shock claim needs to specify what made a coalition newly able to win, not just what changed externally.</w:t>
      </w:r>
    </w:p>
    <w:p w14:paraId="5E75291A" w14:textId="77777777" w:rsidR="006A7303" w:rsidRDefault="00000000">
      <w:pPr>
        <w:pStyle w:val="BodyText"/>
      </w:pPr>
      <w:r>
        <w:rPr>
          <w:b/>
          <w:bCs/>
        </w:rPr>
        <w:t>Broker vs. entrepreneur.</w:t>
      </w:r>
      <w:r>
        <w:t xml:space="preserve"> A broker mediates between coalitions and does not push a position; brokers are often institutional rather than personal. An entrepreneur (MSF </w:t>
      </w:r>
      <w:r>
        <w:lastRenderedPageBreak/>
        <w:t>vocabulary) invests resources to push a particular outcome. Do not collapse the two: naming “the minister who pushed the policy” as a broker is a category error.</w:t>
      </w:r>
    </w:p>
    <w:p w14:paraId="4FB6B943" w14:textId="77777777" w:rsidR="006A7303" w:rsidRDefault="00000000">
      <w:pPr>
        <w:pStyle w:val="BodyText"/>
      </w:pPr>
      <w:r>
        <w:rPr>
          <w:b/>
          <w:bCs/>
        </w:rPr>
        <w:t>Framework-fit reflection.</w:t>
      </w:r>
      <w:r>
        <w:t xml:space="preserve"> ACF is strongest where coalitions are clearly name-able, decade-stable, and belief-organised. PET is stronger where the analytical question is </w:t>
      </w:r>
      <w:r>
        <w:rPr>
          <w:i/>
          <w:iCs/>
        </w:rPr>
        <w:t>why this rhythm of stasis and punctuation</w:t>
      </w:r>
      <w:r>
        <w:t xml:space="preserve">. MSF is stronger where the question is </w:t>
      </w:r>
      <w:r>
        <w:rPr>
          <w:i/>
          <w:iCs/>
        </w:rPr>
        <w:t>what coupled at this moment</w:t>
      </w:r>
      <w:r>
        <w:t>. Picking the right framework for the question is itself an analytical skill.</w:t>
      </w:r>
    </w:p>
    <w:p w14:paraId="2FEE31FB" w14:textId="77777777" w:rsidR="006A7303" w:rsidRDefault="00000000">
      <w:pPr>
        <w:pStyle w:val="Heading3"/>
      </w:pPr>
      <w:bookmarkStart w:id="33" w:name="case-specifics-from-the-case-pack-4"/>
      <w:bookmarkEnd w:id="32"/>
      <w:r>
        <w:t>Case specifics (from the case pack)</w:t>
      </w:r>
    </w:p>
    <w:p w14:paraId="60004093" w14:textId="77777777" w:rsidR="006A7303" w:rsidRDefault="00000000">
      <w:r>
        <w:t>Brazil’s Bolsa Família emerged from the consolidation of an advocacy coalition favouring human-capital ideology in the late 1990s and early 2000s. The coalition drew on PT-aligned social-policy intellectuals, the Ministry of Social Development created in 2004, the World Bank Brazilian-economist network, and allied state-level officials with pre-existing CCT pilots in Brasília, Campinas, and elsewhere. A residual welfarist coalition was visible in the older anti-poverty NGO sector and certain state-level political networks. The pattern is one of endogenous coalitional consolidation rather than importation of a Washington-Consensus template: the human-capital ideology was internalised before it was institutionalised.</w:t>
      </w:r>
    </w:p>
    <w:p w14:paraId="04BA31CE" w14:textId="77777777" w:rsidR="006A7303" w:rsidRDefault="00000000">
      <w:pPr>
        <w:pStyle w:val="BodyText"/>
      </w:pPr>
      <w:r>
        <w:t>The arc consolidated rapidly: the 2003 program launch, the 2004 conditionalities, the 2010s expansion. By the late 2010s, the human-capital coalition had become the dominant frame for Brazilian social policy across PT and successor governments.</w:t>
      </w:r>
    </w:p>
    <w:p w14:paraId="76155C9C" w14:textId="77777777" w:rsidR="006A7303" w:rsidRDefault="00000000">
      <w:pPr>
        <w:pStyle w:val="Heading3"/>
      </w:pPr>
      <w:bookmarkStart w:id="34" w:name="X387aa0d96432d7cba40b082af2f4743f5cc1d68"/>
      <w:bookmarkEnd w:id="33"/>
      <w:r>
        <w:t>Discussion questions from the case pack</w:t>
      </w:r>
    </w:p>
    <w:p w14:paraId="2C8ED664" w14:textId="77777777" w:rsidR="006A7303" w:rsidRDefault="00000000">
      <w:pPr>
        <w:numPr>
          <w:ilvl w:val="0"/>
          <w:numId w:val="25"/>
        </w:numPr>
      </w:pPr>
      <w:r>
        <w:t>Identify the human-capital coalition’s policy-core beliefs and the welfarist residual’s. Where do they overlap, and where do they conflict?</w:t>
      </w:r>
    </w:p>
    <w:p w14:paraId="7EC38EC5" w14:textId="77777777" w:rsidR="006A7303" w:rsidRDefault="00000000">
      <w:pPr>
        <w:numPr>
          <w:ilvl w:val="0"/>
          <w:numId w:val="25"/>
        </w:numPr>
      </w:pPr>
      <w:r>
        <w:t>Which of the four pathways best explains the dominant-coalition consolidation?</w:t>
      </w:r>
    </w:p>
    <w:p w14:paraId="2F49109B" w14:textId="77777777" w:rsidR="006A7303" w:rsidRDefault="00000000">
      <w:pPr>
        <w:numPr>
          <w:ilvl w:val="0"/>
          <w:numId w:val="25"/>
        </w:numPr>
      </w:pPr>
      <w:r>
        <w:rPr>
          <w:i/>
          <w:iCs/>
        </w:rPr>
        <w:t>Framework reflection:</w:t>
      </w:r>
      <w:r>
        <w:t xml:space="preserve"> would MSF’s coupling-at-a-window frame catch the 2002 election as the relevant moment better than ACF’s gradual-consolidation frame? What does ACF gain by treating this as a decade-long process?</w:t>
      </w:r>
    </w:p>
    <w:p w14:paraId="210ED9A9" w14:textId="77777777" w:rsidR="006A7303" w:rsidRDefault="00000000">
      <w:r>
        <w:br w:type="page"/>
      </w:r>
    </w:p>
    <w:p w14:paraId="51C0E995" w14:textId="77777777" w:rsidR="006A7303" w:rsidRDefault="00000000">
      <w:pPr>
        <w:pStyle w:val="Heading1"/>
      </w:pPr>
      <w:bookmarkStart w:id="35" w:name="Xd894a34034d482e3993447954bb5ece85d3f747"/>
      <w:bookmarkEnd w:id="28"/>
      <w:bookmarkEnd w:id="29"/>
      <w:bookmarkEnd w:id="34"/>
      <w:r>
        <w:lastRenderedPageBreak/>
        <w:t>Mapping an Advocacy Coalition — Worksheet</w:t>
      </w:r>
    </w:p>
    <w:p w14:paraId="70CDD404" w14:textId="77777777" w:rsidR="006A7303" w:rsidRDefault="00000000">
      <w:pPr>
        <w:pStyle w:val="Heading2"/>
      </w:pPr>
      <w:bookmarkStart w:id="36" w:name="mexicos-oportunidades-cash-transfer-pair"/>
      <w:r>
        <w:t>Mexico’s Oportunidades — Cash-transfer pair</w:t>
      </w:r>
    </w:p>
    <w:p w14:paraId="234B83F5" w14:textId="77777777" w:rsidR="006A7303" w:rsidRDefault="00000000">
      <w:r>
        <w:t>IR227 Seminar 3 — Group worksheet</w:t>
      </w:r>
    </w:p>
    <w:p w14:paraId="23121410" w14:textId="77777777" w:rsidR="006A7303" w:rsidRDefault="00000000">
      <w:pPr>
        <w:pStyle w:val="Heading3"/>
      </w:pPr>
      <w:bookmarkStart w:id="37" w:name="task-5"/>
      <w:r>
        <w:t>Task</w:t>
      </w:r>
    </w:p>
    <w:p w14:paraId="07987D49" w14:textId="77777777" w:rsidR="006A7303" w:rsidRDefault="00000000">
      <w:r>
        <w:t>Map the advocacy coalitions in your assigned case. Identify their three-tier belief systems. Name the broker if there is one. Explain why change has happened (or hasn’t) over the past decade. Then a brief reflection: does ACF fit cleanly, or would PET or MSF do better?</w:t>
      </w:r>
    </w:p>
    <w:p w14:paraId="000B1A56" w14:textId="77777777" w:rsidR="006A7303" w:rsidRDefault="00000000">
      <w:pPr>
        <w:pStyle w:val="Heading3"/>
      </w:pPr>
      <w:bookmarkStart w:id="38" w:name="requirements-5"/>
      <w:bookmarkEnd w:id="37"/>
      <w:r>
        <w:t>Requirements</w:t>
      </w:r>
    </w:p>
    <w:p w14:paraId="44FE0D4A" w14:textId="77777777" w:rsidR="006A7303" w:rsidRDefault="00000000">
      <w:pPr>
        <w:numPr>
          <w:ilvl w:val="0"/>
          <w:numId w:val="26"/>
        </w:numPr>
      </w:pPr>
      <w:r>
        <w:t>name the major coalitions (typically 2–3),</w:t>
      </w:r>
    </w:p>
    <w:p w14:paraId="6150A4A0" w14:textId="77777777" w:rsidR="006A7303" w:rsidRDefault="00000000">
      <w:pPr>
        <w:numPr>
          <w:ilvl w:val="0"/>
          <w:numId w:val="26"/>
        </w:numPr>
      </w:pPr>
      <w:r>
        <w:t>map each coalition’s beliefs at the three tiers,</w:t>
      </w:r>
    </w:p>
    <w:p w14:paraId="6DC8864F" w14:textId="77777777" w:rsidR="006A7303" w:rsidRDefault="00000000">
      <w:pPr>
        <w:numPr>
          <w:ilvl w:val="0"/>
          <w:numId w:val="26"/>
        </w:numPr>
      </w:pPr>
      <w:r>
        <w:t>identify a policy broker if visible,</w:t>
      </w:r>
    </w:p>
    <w:p w14:paraId="40D56C07" w14:textId="77777777" w:rsidR="006A7303" w:rsidRDefault="00000000">
      <w:pPr>
        <w:numPr>
          <w:ilvl w:val="0"/>
          <w:numId w:val="26"/>
        </w:numPr>
      </w:pPr>
      <w:r>
        <w:t>explain change or stability through one of ACF’s four pathways, and</w:t>
      </w:r>
    </w:p>
    <w:p w14:paraId="569E0E9A" w14:textId="77777777" w:rsidR="006A7303" w:rsidRDefault="00000000">
      <w:pPr>
        <w:numPr>
          <w:ilvl w:val="0"/>
          <w:numId w:val="26"/>
        </w:numPr>
      </w:pPr>
      <w:r>
        <w:t>close with a brief framework-fit reflection.</w:t>
      </w:r>
    </w:p>
    <w:p w14:paraId="08A2FD6B" w14:textId="77777777" w:rsidR="006A7303" w:rsidRDefault="00000000">
      <w:r>
        <w:t>Note: these cases are deliberately under-determined. There is no single correct verdict — you will be assessed on the strength of the reasoning chain (coalitions → three-tier mapping → broker → pathway → framework-fit reflection), not on which verdict you reach.</w:t>
      </w:r>
    </w:p>
    <w:p w14:paraId="6FE0B2AE" w14:textId="77777777" w:rsidR="006A7303" w:rsidRDefault="00000000">
      <w:pPr>
        <w:pStyle w:val="Heading3"/>
      </w:pPr>
      <w:bookmarkStart w:id="39" w:name="tool-summary-5"/>
      <w:bookmarkEnd w:id="38"/>
      <w:r>
        <w:t>Tool summary</w:t>
      </w:r>
    </w:p>
    <w:p w14:paraId="1A33C1FD" w14:textId="77777777" w:rsidR="006A7303" w:rsidRDefault="00000000">
      <w:r>
        <w:rPr>
          <w:b/>
          <w:bCs/>
        </w:rPr>
        <w:t>Three-tier belief structure (Nohrstedt 2023).</w:t>
      </w:r>
      <w:r>
        <w:t xml:space="preserve"> A coalition is </w:t>
      </w:r>
      <w:r>
        <w:rPr>
          <w:i/>
          <w:iCs/>
        </w:rPr>
        <w:t>not</w:t>
      </w:r>
      <w:r>
        <w:t xml:space="preserve"> “the people who want X” — it is a group with shared policy-core beliefs, persistent over time, with coordinated activity (even if not formally organised).</w:t>
      </w:r>
    </w:p>
    <w:p w14:paraId="4EA5B54A" w14:textId="77777777" w:rsidR="006A7303" w:rsidRDefault="00000000">
      <w:pPr>
        <w:numPr>
          <w:ilvl w:val="0"/>
          <w:numId w:val="27"/>
        </w:numPr>
      </w:pPr>
      <w:r>
        <w:t>Deep core — fundamental normative commitments (liberty vs. equality, the proper role of government). Broadly philosophical and resistant to change.</w:t>
      </w:r>
    </w:p>
    <w:p w14:paraId="4628C26E" w14:textId="77777777" w:rsidR="006A7303" w:rsidRDefault="00000000">
      <w:pPr>
        <w:numPr>
          <w:ilvl w:val="0"/>
          <w:numId w:val="27"/>
        </w:numPr>
      </w:pPr>
      <w:r>
        <w:t>Policy core — positions on the proper scope of government in the domain, plus causal beliefs. This is the tier coalitions actually form around.</w:t>
      </w:r>
    </w:p>
    <w:p w14:paraId="24B7DB0B" w14:textId="77777777" w:rsidR="006A7303" w:rsidRDefault="00000000">
      <w:pPr>
        <w:numPr>
          <w:ilvl w:val="0"/>
          <w:numId w:val="27"/>
        </w:numPr>
      </w:pPr>
      <w:r>
        <w:t>Secondary aspects — implementation details, instruments, budgets. The most negotiable tier.</w:t>
      </w:r>
    </w:p>
    <w:p w14:paraId="3C5AE9BF" w14:textId="77777777" w:rsidR="006A7303" w:rsidRDefault="00000000">
      <w:r>
        <w:rPr>
          <w:b/>
          <w:bCs/>
        </w:rPr>
        <w:t>Four pathways to policy-core change.</w:t>
      </w:r>
      <w:r>
        <w:t xml:space="preserve"> External shocks, internal shocks, accumulated evidence (via professional forums), and negotiated agreements (requiring brokers and hurting stalemates). Each predicts different observable conditions before, during, and after change — an external-shock claim needs to specify what made a coalition newly able to win, not just what changed externally.</w:t>
      </w:r>
    </w:p>
    <w:p w14:paraId="06C6196F" w14:textId="77777777" w:rsidR="006A7303" w:rsidRDefault="00000000">
      <w:pPr>
        <w:pStyle w:val="BodyText"/>
      </w:pPr>
      <w:r>
        <w:rPr>
          <w:b/>
          <w:bCs/>
        </w:rPr>
        <w:t>Broker vs. entrepreneur.</w:t>
      </w:r>
      <w:r>
        <w:t xml:space="preserve"> A broker mediates between coalitions and does not push a position; brokers are often institutional rather than personal. An entrepreneur (MSF </w:t>
      </w:r>
      <w:r>
        <w:lastRenderedPageBreak/>
        <w:t>vocabulary) invests resources to push a particular outcome. Do not collapse the two: naming “the minister who pushed the policy” as a broker is a category error.</w:t>
      </w:r>
    </w:p>
    <w:p w14:paraId="78CA7104" w14:textId="77777777" w:rsidR="006A7303" w:rsidRDefault="00000000">
      <w:pPr>
        <w:pStyle w:val="BodyText"/>
      </w:pPr>
      <w:r>
        <w:rPr>
          <w:b/>
          <w:bCs/>
        </w:rPr>
        <w:t>Framework-fit reflection.</w:t>
      </w:r>
      <w:r>
        <w:t xml:space="preserve"> ACF is strongest where coalitions are clearly name-able, decade-stable, and belief-organised. PET is stronger where the analytical question is </w:t>
      </w:r>
      <w:r>
        <w:rPr>
          <w:i/>
          <w:iCs/>
        </w:rPr>
        <w:t>why this rhythm of stasis and punctuation</w:t>
      </w:r>
      <w:r>
        <w:t xml:space="preserve">. MSF is stronger where the question is </w:t>
      </w:r>
      <w:r>
        <w:rPr>
          <w:i/>
          <w:iCs/>
        </w:rPr>
        <w:t>what coupled at this moment</w:t>
      </w:r>
      <w:r>
        <w:t>. Picking the right framework for the question is itself an analytical skill.</w:t>
      </w:r>
    </w:p>
    <w:p w14:paraId="095EA16A" w14:textId="77777777" w:rsidR="006A7303" w:rsidRDefault="00000000">
      <w:pPr>
        <w:pStyle w:val="Heading3"/>
      </w:pPr>
      <w:bookmarkStart w:id="40" w:name="case-specifics-from-the-case-pack-5"/>
      <w:bookmarkEnd w:id="39"/>
      <w:r>
        <w:t>Case specifics (from the case pack)</w:t>
      </w:r>
    </w:p>
    <w:p w14:paraId="0E6315D6" w14:textId="77777777" w:rsidR="006A7303" w:rsidRDefault="00000000">
      <w:r>
        <w:t>Mexico’s Oportunidades emerged from a similar coalitional structure but via a different pathway. The advocacy coalition consolidated through technocratic networks: PRI- and PAN-aligned economists in SEDESOL (later Bienestar), the World Bank Mexico-economist network, and crucially the PROGRESA evaluation team, whose 1997–2000 randomised evaluation gave the program credibility before it had political consolidation. A residual welfarist coalition was similarly composed to Brazil’s. The two coalitions held similar deep-core beliefs to the Brazilian case; the strategic difference is that Mexico built credibility via evidence first, whereas Brazil built credibility via political alignment first. Same outcomes, different coalitional strategies.</w:t>
      </w:r>
    </w:p>
    <w:p w14:paraId="0A495A4F" w14:textId="77777777" w:rsidR="006A7303" w:rsidRDefault="00000000">
      <w:pPr>
        <w:pStyle w:val="BodyText"/>
      </w:pPr>
      <w:r>
        <w:t>The arc began with PROGRESA (1997), expanded to Oportunidades (2002 under Fox/PAN), continued under Calderón and Peña Nieto, and was substantially restructured by AMLO in 2019 — the only significant break in the coalition’s institutional consolidation.</w:t>
      </w:r>
    </w:p>
    <w:p w14:paraId="3B1A3894" w14:textId="77777777" w:rsidR="006A7303" w:rsidRDefault="00000000">
      <w:pPr>
        <w:pStyle w:val="Heading3"/>
      </w:pPr>
      <w:bookmarkStart w:id="41" w:name="X568068362dc8e4133806000961525b2dac20a29"/>
      <w:bookmarkEnd w:id="40"/>
      <w:r>
        <w:t>Discussion questions from the case pack</w:t>
      </w:r>
    </w:p>
    <w:p w14:paraId="77F96239" w14:textId="77777777" w:rsidR="006A7303" w:rsidRDefault="00000000">
      <w:pPr>
        <w:numPr>
          <w:ilvl w:val="0"/>
          <w:numId w:val="28"/>
        </w:numPr>
      </w:pPr>
      <w:r>
        <w:t>Compare the policy-core beliefs of the Mexican and Brazilian coalitions. Are they essentially the same belief system in two different political contexts, or are there meaningful differences?</w:t>
      </w:r>
    </w:p>
    <w:p w14:paraId="353A2A74" w14:textId="77777777" w:rsidR="006A7303" w:rsidRDefault="00000000">
      <w:pPr>
        <w:numPr>
          <w:ilvl w:val="0"/>
          <w:numId w:val="28"/>
        </w:numPr>
      </w:pPr>
      <w:r>
        <w:t>Why did Mexico’s coalition build credibility via evidence-first while Brazil’s built it via politics-first — and what does that imply for ACF’s prediction of coalition strategy?</w:t>
      </w:r>
    </w:p>
    <w:p w14:paraId="137B86D3" w14:textId="77777777" w:rsidR="006A7303" w:rsidRDefault="00000000">
      <w:pPr>
        <w:numPr>
          <w:ilvl w:val="0"/>
          <w:numId w:val="28"/>
        </w:numPr>
      </w:pPr>
      <w:r>
        <w:rPr>
          <w:i/>
          <w:iCs/>
        </w:rPr>
        <w:t>Framework reflection:</w:t>
      </w:r>
      <w:r>
        <w:t xml:space="preserve"> does the AMLO restructuring (2019) count as an external shock in ACF’s pathway taxonomy? Or does it require a different framework to explain?</w:t>
      </w:r>
      <w:bookmarkEnd w:id="35"/>
      <w:bookmarkEnd w:id="36"/>
      <w:bookmarkEnd w:id="41"/>
    </w:p>
    <w:sectPr w:rsidR="006A7303"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A25EC2" w14:textId="77777777" w:rsidR="00C011F1" w:rsidRDefault="00C011F1">
      <w:pPr>
        <w:spacing w:after="0" w:line="240" w:lineRule="auto"/>
      </w:pPr>
      <w:r>
        <w:separator/>
      </w:r>
    </w:p>
  </w:endnote>
  <w:endnote w:type="continuationSeparator" w:id="0">
    <w:p w14:paraId="516696D6" w14:textId="77777777" w:rsidR="00C011F1" w:rsidRDefault="00C01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6257FE" w14:textId="77777777" w:rsidR="00C011F1" w:rsidRDefault="00C011F1">
      <w:r>
        <w:separator/>
      </w:r>
    </w:p>
  </w:footnote>
  <w:footnote w:type="continuationSeparator" w:id="0">
    <w:p w14:paraId="5F640858" w14:textId="77777777" w:rsidR="00C011F1" w:rsidRDefault="00C01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A036BE9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00A991"/>
    <w:multiLevelType w:val="multilevel"/>
    <w:tmpl w:val="F1CE22E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973555985">
    <w:abstractNumId w:val="8"/>
  </w:num>
  <w:num w:numId="2" w16cid:durableId="1366563869">
    <w:abstractNumId w:val="6"/>
  </w:num>
  <w:num w:numId="3" w16cid:durableId="1202668815">
    <w:abstractNumId w:val="5"/>
  </w:num>
  <w:num w:numId="4" w16cid:durableId="892079298">
    <w:abstractNumId w:val="4"/>
  </w:num>
  <w:num w:numId="5" w16cid:durableId="1506898117">
    <w:abstractNumId w:val="7"/>
  </w:num>
  <w:num w:numId="6" w16cid:durableId="2120489874">
    <w:abstractNumId w:val="3"/>
  </w:num>
  <w:num w:numId="7" w16cid:durableId="1656684556">
    <w:abstractNumId w:val="2"/>
  </w:num>
  <w:num w:numId="8" w16cid:durableId="505946227">
    <w:abstractNumId w:val="1"/>
  </w:num>
  <w:num w:numId="9" w16cid:durableId="617180631">
    <w:abstractNumId w:val="0"/>
  </w:num>
  <w:num w:numId="10" w16cid:durableId="1471825032">
    <w:abstractNumId w:val="9"/>
  </w:num>
  <w:num w:numId="11" w16cid:durableId="1678145248">
    <w:abstractNumId w:val="10"/>
  </w:num>
  <w:num w:numId="12" w16cid:durableId="878126496">
    <w:abstractNumId w:val="10"/>
  </w:num>
  <w:num w:numId="13" w16cid:durableId="322661658">
    <w:abstractNumId w:val="10"/>
  </w:num>
  <w:num w:numId="14" w16cid:durableId="1778720618">
    <w:abstractNumId w:val="10"/>
  </w:num>
  <w:num w:numId="15" w16cid:durableId="1514495563">
    <w:abstractNumId w:val="10"/>
  </w:num>
  <w:num w:numId="16" w16cid:durableId="1618175362">
    <w:abstractNumId w:val="10"/>
  </w:num>
  <w:num w:numId="17" w16cid:durableId="685640418">
    <w:abstractNumId w:val="10"/>
  </w:num>
  <w:num w:numId="18" w16cid:durableId="792988953">
    <w:abstractNumId w:val="10"/>
  </w:num>
  <w:num w:numId="19" w16cid:durableId="2078281156">
    <w:abstractNumId w:val="10"/>
  </w:num>
  <w:num w:numId="20" w16cid:durableId="348484277">
    <w:abstractNumId w:val="10"/>
  </w:num>
  <w:num w:numId="21" w16cid:durableId="791561800">
    <w:abstractNumId w:val="10"/>
  </w:num>
  <w:num w:numId="22" w16cid:durableId="2009550212">
    <w:abstractNumId w:val="10"/>
  </w:num>
  <w:num w:numId="23" w16cid:durableId="1349404119">
    <w:abstractNumId w:val="10"/>
  </w:num>
  <w:num w:numId="24" w16cid:durableId="1835994964">
    <w:abstractNumId w:val="10"/>
  </w:num>
  <w:num w:numId="25" w16cid:durableId="554006743">
    <w:abstractNumId w:val="10"/>
  </w:num>
  <w:num w:numId="26" w16cid:durableId="1168400251">
    <w:abstractNumId w:val="10"/>
  </w:num>
  <w:num w:numId="27" w16cid:durableId="1318806091">
    <w:abstractNumId w:val="10"/>
  </w:num>
  <w:num w:numId="28" w16cid:durableId="1669483749">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668F"/>
    <w:rsid w:val="0025775B"/>
    <w:rsid w:val="0029639D"/>
    <w:rsid w:val="00326F90"/>
    <w:rsid w:val="003471CE"/>
    <w:rsid w:val="005D1614"/>
    <w:rsid w:val="006A7303"/>
    <w:rsid w:val="00AA1D8D"/>
    <w:rsid w:val="00B47730"/>
    <w:rsid w:val="00C011F1"/>
    <w:rsid w:val="00CB0664"/>
    <w:rsid w:val="00D416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EA5FF9"/>
  <w15:docId w15:val="{93ED614E-4281-DF4E-B787-ADF9C1D6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3974</Words>
  <Characters>22654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Pro,E (pgr)</cp:lastModifiedBy>
  <cp:revision>2</cp:revision>
  <dcterms:created xsi:type="dcterms:W3CDTF">2026-07-07T09:50:00Z</dcterms:created>
  <dcterms:modified xsi:type="dcterms:W3CDTF">2026-07-15T12:16:00Z</dcterms:modified>
</cp:coreProperties>
</file>