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D4A800" w14:textId="77777777" w:rsidR="0025775B" w:rsidRDefault="00000000">
      <w:pPr>
        <w:pStyle w:val="Heading1"/>
      </w:pPr>
      <w:r>
        <w:t>A Policy Window in Building Decarbonisation — Worksheet</w:t>
      </w:r>
    </w:p>
    <w:p w14:paraId="633E085A" w14:textId="77777777" w:rsidR="0025775B" w:rsidRDefault="00000000">
      <w:pPr>
        <w:pStyle w:val="Heading2"/>
      </w:pPr>
      <w:r>
        <w:t>Germany — Industrial-federal pair</w:t>
      </w:r>
    </w:p>
    <w:p w14:paraId="5DD34461" w14:textId="77777777" w:rsidR="0025775B" w:rsidRDefault="00000000">
      <w:r>
        <w:t>IR227 Seminar 2 — Group worksheet</w:t>
      </w:r>
    </w:p>
    <w:p w14:paraId="0CF3155B" w14:textId="77777777" w:rsidR="0025775B" w:rsidRDefault="00000000">
      <w:pPr>
        <w:pStyle w:val="Heading3"/>
      </w:pPr>
      <w:r>
        <w:t>Task</w:t>
      </w:r>
    </w:p>
    <w:p w14:paraId="64870EE9" w14:textId="77777777" w:rsidR="0025775B" w:rsidRDefault="00000000">
      <w:r>
        <w:t>Reconstruct the most recent significant policy window for building decarbonisation in your assigned country. Apply the Multiple Streams Framework (MSF) to what happened. Then ask: would foresight have caught it?</w:t>
      </w:r>
    </w:p>
    <w:p w14:paraId="2C53EC18" w14:textId="77777777" w:rsidR="0025775B" w:rsidRDefault="00000000">
      <w:r>
        <w:t>The analytical tools you will deploy are: the three streams (problem, policy, political — which was ready, and which was the binding constraint?), the concept of coupling (what moment, what entrepreneur, what streams joined), and the OECD strategic-foresight toolkit’s five-module process (would it have flagged this window in advance, and which module would have done the flagging?).</w:t>
      </w:r>
    </w:p>
    <w:p w14:paraId="2A951A54" w14:textId="77777777" w:rsidR="0025775B" w:rsidRDefault="00000000">
      <w:pPr>
        <w:pStyle w:val="Heading3"/>
      </w:pPr>
      <w:r>
        <w:t>Requirements</w:t>
      </w:r>
    </w:p>
    <w:p w14:paraId="351FD88A" w14:textId="77777777" w:rsidR="0025775B" w:rsidRDefault="00000000">
      <w:pPr>
        <w:pStyle w:val="ListBullet"/>
      </w:pPr>
      <w:r>
        <w:t>reconstruct the state of each stream in the months before the window,</w:t>
      </w:r>
    </w:p>
    <w:p w14:paraId="21C2FFAD" w14:textId="77777777" w:rsidR="0025775B" w:rsidRDefault="00000000">
      <w:pPr>
        <w:pStyle w:val="ListBullet"/>
      </w:pPr>
      <w:r>
        <w:t>identify the binding constraint,</w:t>
      </w:r>
    </w:p>
    <w:p w14:paraId="50D745A5" w14:textId="77777777" w:rsidR="0025775B" w:rsidRDefault="00000000">
      <w:pPr>
        <w:pStyle w:val="ListBullet"/>
      </w:pPr>
      <w:r>
        <w:t>name the moment the window opened (or note that there wasn’t a single discrete moment) and the entrepreneur, or their absence,</w:t>
      </w:r>
    </w:p>
    <w:p w14:paraId="6D97B4D0" w14:textId="77777777" w:rsidR="0025775B" w:rsidRDefault="00000000">
      <w:pPr>
        <w:pStyle w:val="ListBullet"/>
      </w:pPr>
      <w:r>
        <w:t>explain the coupling that was attempted and defend a verdict (used / used-then-reversed / missed / gradual), and</w:t>
      </w:r>
    </w:p>
    <w:p w14:paraId="700082A6" w14:textId="77777777" w:rsidR="0025775B" w:rsidRDefault="00000000">
      <w:pPr>
        <w:pStyle w:val="ListBullet"/>
      </w:pPr>
      <w:r>
        <w:t>close with a short foresight reflection naming a specific toolkit module and what it would (or would not) have surfaced.</w:t>
      </w:r>
    </w:p>
    <w:p w14:paraId="5EA11A81" w14:textId="77777777" w:rsidR="0025775B" w:rsidRDefault="00000000">
      <w:r>
        <w:t>Note: these cases are deliberately under-determined. There is no single correct verdict — you will be assessed on the strength of the reasoning chain (streams → coupling → verdict → foresight reflection), not on which verdict you reach.</w:t>
      </w:r>
    </w:p>
    <w:p w14:paraId="6582BEF9" w14:textId="77777777" w:rsidR="0025775B" w:rsidRDefault="00000000">
      <w:pPr>
        <w:pStyle w:val="Heading3"/>
      </w:pPr>
      <w:r>
        <w:t>Tool summary</w:t>
      </w:r>
    </w:p>
    <w:p w14:paraId="63E536D0" w14:textId="77777777" w:rsidR="0025775B" w:rsidRDefault="00000000">
      <w:r>
        <w:t>Three streams (Herweg, Zahariadis &amp; Zohlnhöfer 2023). Ask which stream was ready, and which was the binding constraint.</w:t>
      </w:r>
    </w:p>
    <w:p w14:paraId="6B74BA07" w14:textId="77777777" w:rsidR="0025775B" w:rsidRDefault="00000000">
      <w:pPr>
        <w:pStyle w:val="ListBullet"/>
      </w:pPr>
      <w:r>
        <w:t>Problem stream — indicators, focusing events, and feedback from existing programmes that make an issue count as a policy problem.</w:t>
      </w:r>
    </w:p>
    <w:p w14:paraId="78119108" w14:textId="77777777" w:rsidR="0025775B" w:rsidRDefault="00000000">
      <w:pPr>
        <w:pStyle w:val="ListBullet"/>
      </w:pPr>
      <w:r>
        <w:t>Policy stream — the “primeval soup” of solutions; a proposal survives on technical feasibility and value acceptability, not on how well it fits the problem.</w:t>
      </w:r>
    </w:p>
    <w:p w14:paraId="54F5CEB9" w14:textId="77777777" w:rsidR="0025775B" w:rsidRDefault="00000000">
      <w:pPr>
        <w:pStyle w:val="ListBullet"/>
      </w:pPr>
      <w:r>
        <w:t>Political stream — national mood, organised political forces, and government turnover; independent of the other two streams.</w:t>
      </w:r>
    </w:p>
    <w:p w14:paraId="750881EB" w14:textId="6B84CE27" w:rsidR="0025775B" w:rsidRDefault="00000000">
      <w:r>
        <w:t xml:space="preserve">Coupling. Streams describe conditions; coupling describes action. Policy change happens when an entrepreneur joins the streams at an open window. Cairney &amp; Jones (2016) set the </w:t>
      </w:r>
      <w:r>
        <w:lastRenderedPageBreak/>
        <w:t xml:space="preserve">bar for a </w:t>
      </w:r>
      <w:proofErr w:type="spellStart"/>
      <w:r w:rsidR="00AB0208">
        <w:t>rigourous</w:t>
      </w:r>
      <w:proofErr w:type="spellEnd"/>
      <w:r>
        <w:t xml:space="preserve"> MSF analysis: name the streams, the coupling moment, and the entrepreneur — don’t just invoke the streams as background labels.</w:t>
      </w:r>
    </w:p>
    <w:p w14:paraId="626D1818" w14:textId="77777777" w:rsidR="0025775B" w:rsidRDefault="00000000">
      <w:r>
        <w:t>Windows. Predictable windows — elections, budget cycles, statutory reviews. Unpredictable windows — crises, scandals, focusing events. A window can open without anyone using it.</w:t>
      </w:r>
    </w:p>
    <w:p w14:paraId="0E423726" w14:textId="77777777" w:rsidR="0025775B" w:rsidRDefault="00000000">
      <w:r>
        <w:t>Entrepreneurs invest their own resources — time, reputation, political capital — to couple the streams. Most attempts fail. An entrepreneur is not the same as a veto player: a veto player can block or reshape a coupling attempt without being the one doing the coupling work.</w:t>
      </w:r>
    </w:p>
    <w:p w14:paraId="1D4A6BE6" w14:textId="77777777" w:rsidR="0025775B" w:rsidRDefault="00000000">
      <w:r>
        <w:t>OECD Strategic Foresight Toolkit (2025). A five-module sequential process for anticipating disruptions before they happen — Explore Disruptions, Imagine Interactions, Create Scenarios, Envision and Strategise, Recommend Policies (Figure 1.1, p. 16). Your foresight reflection should name a specific module, not the toolkit in general.</w:t>
      </w:r>
    </w:p>
    <w:p w14:paraId="4B1A07C8" w14:textId="77777777" w:rsidR="0025775B" w:rsidRDefault="00000000">
      <w:pPr>
        <w:pStyle w:val="Heading3"/>
      </w:pPr>
      <w:r>
        <w:t>Case specifics (from the case pack)</w:t>
      </w:r>
    </w:p>
    <w:p w14:paraId="40A96A75" w14:textId="77777777" w:rsidR="0025775B" w:rsidRDefault="00000000">
      <w:r>
        <w:t>In the spring of 2023, the German federal government drafted a far-reaching reform to the Gebäudeenergiegesetz (Building Energy Act, GEG), commonly known in public debate as the Heizungsgesetz. The proposal would have required that, from January 2024, almost all newly installed residential heating systems run substantially on renewable energy — effectively a heat-pump mandate, with strict exceptions. Conditions for legislative action existed because of the Russia-gas crisis (2022), the binding 2030 sectoral climate targets in the Climate Protection Act, and the SPD–Greens–FDP coalition agreement signed in late 2021. The proposal was led by Robert Habeck (Greens), Federal Minister for Economic Affairs and Climate Action, and BMWK technical staff.</w:t>
      </w:r>
    </w:p>
    <w:p w14:paraId="3E65EC70" w14:textId="77777777" w:rsidR="0025775B" w:rsidRDefault="00000000">
      <w:r>
        <w:t>The summer of 2023 produced strong public and political reaction. Tabloid coverage framed the law as imposing prohibitive costs on homeowners; the FDP forced major amendments; the AfD’s polling rose sharply during the debate. The law that finally passed in September 2023 contained substantial transition periods, larger subsidies, and FDP-driven exemptions. The 2024 amendments further softened implementation.</w:t>
      </w:r>
    </w:p>
    <w:p w14:paraId="58600452" w14:textId="77777777" w:rsidR="0025775B" w:rsidRDefault="00000000">
      <w:r>
        <w:t>Discussion questions from the case pack</w:t>
      </w:r>
    </w:p>
    <w:p w14:paraId="769291EE" w14:textId="77777777" w:rsidR="0025775B" w:rsidRDefault="00000000">
      <w:pPr>
        <w:pStyle w:val="ListBullet"/>
      </w:pPr>
      <w:r>
        <w:t>Reconstruct each stream in the months before June 2023. Which was the binding constraint?</w:t>
      </w:r>
    </w:p>
    <w:p w14:paraId="6FF556FC" w14:textId="77777777" w:rsidR="0025775B" w:rsidRDefault="00000000">
      <w:pPr>
        <w:pStyle w:val="ListBullet"/>
      </w:pPr>
      <w:r>
        <w:t>Was Habeck the entrepreneur, or did the outcome depend on institutional resources broader than him personally?</w:t>
      </w:r>
    </w:p>
    <w:p w14:paraId="321707BF" w14:textId="77777777" w:rsidR="0025775B" w:rsidRDefault="00000000">
      <w:pPr>
        <w:pStyle w:val="ListBullet"/>
      </w:pPr>
      <w:r>
        <w:t>Was this a critical juncture in the Capoccia–Kelemen sense, or a policy window in the MSF sense?</w:t>
      </w:r>
    </w:p>
    <w:p w14:paraId="3890EA27" w14:textId="77777777" w:rsidR="0025775B" w:rsidRDefault="00000000">
      <w:pPr>
        <w:pStyle w:val="ListBullet"/>
      </w:pPr>
      <w:r>
        <w:t>Foresight reflection: of the toolkit’s five-module process, which, if applied 12 months before, would have flagged the political reaction that followed? Which would have been blind?</w:t>
      </w:r>
    </w:p>
    <w:p w14:paraId="315DBE77" w14:textId="0911918E" w:rsidR="0025775B" w:rsidRDefault="00000000" w:rsidP="005D1614">
      <w:pPr>
        <w:pStyle w:val="Heading1"/>
      </w:pPr>
      <w:r>
        <w:lastRenderedPageBreak/>
        <w:t>A Policy Window in Building Decarbonisation — Worksheet</w:t>
      </w:r>
    </w:p>
    <w:p w14:paraId="74609A2B" w14:textId="77777777" w:rsidR="0025775B" w:rsidRDefault="00000000">
      <w:pPr>
        <w:pStyle w:val="Heading2"/>
      </w:pPr>
      <w:r>
        <w:t>United States — Industrial-federal pair</w:t>
      </w:r>
    </w:p>
    <w:p w14:paraId="390753A4" w14:textId="77777777" w:rsidR="0025775B" w:rsidRDefault="00000000">
      <w:r>
        <w:t>IR227 Seminar 2 — Group worksheet</w:t>
      </w:r>
    </w:p>
    <w:p w14:paraId="69208355" w14:textId="77777777" w:rsidR="0025775B" w:rsidRDefault="00000000">
      <w:pPr>
        <w:pStyle w:val="Heading3"/>
      </w:pPr>
      <w:r>
        <w:t>Task</w:t>
      </w:r>
    </w:p>
    <w:p w14:paraId="1F5B3C08" w14:textId="77777777" w:rsidR="0025775B" w:rsidRDefault="00000000">
      <w:r>
        <w:t>Reconstruct the most recent significant policy window for building decarbonisation in your assigned country. Apply the Multiple Streams Framework (MSF) to what happened. Then ask: would foresight have caught it?</w:t>
      </w:r>
    </w:p>
    <w:p w14:paraId="0A1AC4D1" w14:textId="77777777" w:rsidR="0025775B" w:rsidRDefault="00000000">
      <w:r>
        <w:t>The analytical tools you will deploy are: the three streams (problem, policy, political — which was ready, and which was the binding constraint?), the concept of coupling (what moment, what entrepreneur, what streams joined), and the OECD strategic-foresight toolkit’s five-module process (would it have flagged this window in advance, and which module would have done the flagging?).</w:t>
      </w:r>
    </w:p>
    <w:p w14:paraId="3FFD4B76" w14:textId="77777777" w:rsidR="0025775B" w:rsidRDefault="00000000">
      <w:pPr>
        <w:pStyle w:val="Heading3"/>
      </w:pPr>
      <w:r>
        <w:t>Requirements</w:t>
      </w:r>
    </w:p>
    <w:p w14:paraId="7344B6EB" w14:textId="77777777" w:rsidR="0025775B" w:rsidRDefault="00000000">
      <w:pPr>
        <w:pStyle w:val="ListBullet"/>
      </w:pPr>
      <w:r>
        <w:t>reconstruct the state of each stream in the months before the window,</w:t>
      </w:r>
    </w:p>
    <w:p w14:paraId="2E2A5965" w14:textId="77777777" w:rsidR="0025775B" w:rsidRDefault="00000000">
      <w:pPr>
        <w:pStyle w:val="ListBullet"/>
      </w:pPr>
      <w:r>
        <w:t>identify the binding constraint,</w:t>
      </w:r>
    </w:p>
    <w:p w14:paraId="29B453A1" w14:textId="77777777" w:rsidR="0025775B" w:rsidRDefault="00000000">
      <w:pPr>
        <w:pStyle w:val="ListBullet"/>
      </w:pPr>
      <w:r>
        <w:t>name the moment the window opened (or note that there wasn’t a single discrete moment) and the entrepreneur, or their absence,</w:t>
      </w:r>
    </w:p>
    <w:p w14:paraId="05F91C76" w14:textId="77777777" w:rsidR="0025775B" w:rsidRDefault="00000000">
      <w:pPr>
        <w:pStyle w:val="ListBullet"/>
      </w:pPr>
      <w:r>
        <w:t>explain the coupling that was attempted and defend a verdict (used / used-then-reversed / missed / gradual), and</w:t>
      </w:r>
    </w:p>
    <w:p w14:paraId="40C58D98" w14:textId="77777777" w:rsidR="0025775B" w:rsidRDefault="00000000">
      <w:pPr>
        <w:pStyle w:val="ListBullet"/>
      </w:pPr>
      <w:r>
        <w:t>close with a short foresight reflection naming a specific toolkit module and what it would (or would not) have surfaced.</w:t>
      </w:r>
    </w:p>
    <w:p w14:paraId="75D5D8EE" w14:textId="77777777" w:rsidR="0025775B" w:rsidRDefault="00000000">
      <w:r>
        <w:t>Note: these cases are deliberately under-determined. There is no single correct verdict — you will be assessed on the strength of the reasoning chain (streams → coupling → verdict → foresight reflection), not on which verdict you reach.</w:t>
      </w:r>
    </w:p>
    <w:p w14:paraId="27F02510" w14:textId="77777777" w:rsidR="0025775B" w:rsidRDefault="00000000">
      <w:pPr>
        <w:pStyle w:val="Heading3"/>
      </w:pPr>
      <w:r>
        <w:t>Tool summary</w:t>
      </w:r>
    </w:p>
    <w:p w14:paraId="42CAA15E" w14:textId="77777777" w:rsidR="0025775B" w:rsidRDefault="00000000">
      <w:r>
        <w:t>Three streams (Herweg, Zahariadis &amp; Zohlnhöfer 2023). Ask which stream was ready, and which was the binding constraint.</w:t>
      </w:r>
    </w:p>
    <w:p w14:paraId="729D62B8" w14:textId="77777777" w:rsidR="0025775B" w:rsidRDefault="00000000">
      <w:pPr>
        <w:pStyle w:val="ListBullet"/>
      </w:pPr>
      <w:r>
        <w:t>Problem stream — indicators, focusing events, and feedback from existing programmes that make an issue count as a policy problem.</w:t>
      </w:r>
    </w:p>
    <w:p w14:paraId="1AE1294D" w14:textId="77777777" w:rsidR="0025775B" w:rsidRDefault="00000000">
      <w:pPr>
        <w:pStyle w:val="ListBullet"/>
      </w:pPr>
      <w:r>
        <w:t>Policy stream — the “primeval soup” of solutions; a proposal survives on technical feasibility and value acceptability, not on how well it fits the problem.</w:t>
      </w:r>
    </w:p>
    <w:p w14:paraId="4AFA3D92" w14:textId="77777777" w:rsidR="0025775B" w:rsidRDefault="00000000">
      <w:pPr>
        <w:pStyle w:val="ListBullet"/>
      </w:pPr>
      <w:r>
        <w:t>Political stream — national mood, organised political forces, and government turnover; independent of the other two streams.</w:t>
      </w:r>
    </w:p>
    <w:p w14:paraId="7D18F8A1" w14:textId="633D4843" w:rsidR="0025775B" w:rsidRDefault="00000000">
      <w:r>
        <w:t xml:space="preserve">Coupling. Streams describe conditions; coupling describes action. Policy change happens when an entrepreneur joins the streams at an open window. Cairney &amp; Jones (2016) set the bar for a </w:t>
      </w:r>
      <w:proofErr w:type="spellStart"/>
      <w:r w:rsidR="00AB0208">
        <w:t>rigourous</w:t>
      </w:r>
      <w:proofErr w:type="spellEnd"/>
      <w:r>
        <w:t xml:space="preserve"> MSF analysis: name the streams, the coupling moment, and the entrepreneur — don’t just invoke the streams as background labels.</w:t>
      </w:r>
    </w:p>
    <w:p w14:paraId="42073C96" w14:textId="77777777" w:rsidR="0025775B" w:rsidRDefault="00000000">
      <w:r>
        <w:lastRenderedPageBreak/>
        <w:t>Windows. Predictable windows — elections, budget cycles, statutory reviews. Unpredictable windows — crises, scandals, focusing events. A window can open without anyone using it.</w:t>
      </w:r>
    </w:p>
    <w:p w14:paraId="2AAC2953" w14:textId="77777777" w:rsidR="0025775B" w:rsidRDefault="00000000">
      <w:r>
        <w:t>Entrepreneurs invest their own resources — time, reputation, political capital — to couple the streams. Most attempts fail. An entrepreneur is not the same as a veto player: a veto player can block or reshape a coupling attempt without being the one doing the coupling work.</w:t>
      </w:r>
    </w:p>
    <w:p w14:paraId="29BA1F09" w14:textId="77777777" w:rsidR="0025775B" w:rsidRDefault="00000000">
      <w:r>
        <w:t>OECD Strategic Foresight Toolkit (2025). A five-module sequential process for anticipating disruptions before they happen — Explore Disruptions, Imagine Interactions, Create Scenarios, Envision and Strategise, Recommend Policies (Figure 1.1, p. 16). Your foresight reflection should name a specific module, not the toolkit in general.</w:t>
      </w:r>
    </w:p>
    <w:p w14:paraId="6445537D" w14:textId="77777777" w:rsidR="0025775B" w:rsidRDefault="00000000">
      <w:pPr>
        <w:pStyle w:val="Heading3"/>
      </w:pPr>
      <w:r>
        <w:t>Case specifics (from the case pack)</w:t>
      </w:r>
    </w:p>
    <w:p w14:paraId="52A0DD97" w14:textId="77777777" w:rsidR="0025775B" w:rsidRDefault="00000000">
      <w:r>
        <w:t>In late July 2022, after a year of failed negotiation on the Build Back Better legislation, Senate Majority Leader Schumer and Senator Manchin announced a bilateral agreement that would, within weeks, become the Inflation Reduction Act. Among its provisions: substantial tax credits for residential heat-pump installation under sections 25C and 25D of the Internal Revenue Code, and parallel rebate programmes funded under Department of Energy authority. The credit architecture had been circulating in the EPA, DOE, and climate-think-tank ecosystems since at least 2020.</w:t>
      </w:r>
    </w:p>
    <w:p w14:paraId="0061DB60" w14:textId="77777777" w:rsidR="0025775B" w:rsidRDefault="00000000">
      <w:r>
        <w:t>The agreement was followed quickly by legislative passage: the IRA was signed into law in mid-August 2022. For two years, uptake was significant, especially for heat pumps, and the credits were widely treated as a policy success.</w:t>
      </w:r>
    </w:p>
    <w:p w14:paraId="4529AC78" w14:textId="2DD50D0C" w:rsidR="0025775B" w:rsidRDefault="00000000">
      <w:r>
        <w:t xml:space="preserve">In 2025, after the 2024 election produced a change in the governing coalition, budget-reconciliation legislation </w:t>
      </w:r>
      <w:r w:rsidR="00AB0208">
        <w:t xml:space="preserve">terminated </w:t>
      </w:r>
      <w:r>
        <w:t>the heat-pump credits. The same instrument was the subject of major legislative action twice within three years.</w:t>
      </w:r>
    </w:p>
    <w:p w14:paraId="57003E1F" w14:textId="77777777" w:rsidR="0025775B" w:rsidRDefault="00000000">
      <w:r>
        <w:t>Discussion questions from the case pack</w:t>
      </w:r>
    </w:p>
    <w:p w14:paraId="3F5C0E2B" w14:textId="77777777" w:rsidR="0025775B" w:rsidRDefault="00000000">
      <w:pPr>
        <w:pStyle w:val="ListBullet"/>
      </w:pPr>
      <w:r>
        <w:t>Reconstruct each stream as of mid-2022.</w:t>
      </w:r>
    </w:p>
    <w:p w14:paraId="49985878" w14:textId="77777777" w:rsidR="0025775B" w:rsidRDefault="00000000">
      <w:pPr>
        <w:pStyle w:val="ListBullet"/>
      </w:pPr>
      <w:r>
        <w:t>Was the IRA passage a coupling at a predictable window or an unpredictable one?</w:t>
      </w:r>
    </w:p>
    <w:p w14:paraId="7486CD0E" w14:textId="77777777" w:rsidR="0025775B" w:rsidRDefault="00000000">
      <w:pPr>
        <w:pStyle w:val="ListBullet"/>
      </w:pPr>
      <w:r>
        <w:t>Identify the entrepreneurs at both the 2022 and the 2025 moments — are they the same kind of actor? Distinguish entrepreneurs from veto players carefully: who is doing the coupling work, and who is merely shaping or blocking it?</w:t>
      </w:r>
    </w:p>
    <w:p w14:paraId="72758DA4" w14:textId="77777777" w:rsidR="0025775B" w:rsidRDefault="00000000">
      <w:pPr>
        <w:pStyle w:val="ListBullet"/>
      </w:pPr>
      <w:r>
        <w:t>Foresight reflection: would the OECD strategic-foresight toolkit have anticipated the 2025 reversal in mid-2024? Which modules would have surfaced what; which would have been blind to electoral surprise?</w:t>
      </w:r>
    </w:p>
    <w:p w14:paraId="22C7BAA6" w14:textId="77777777" w:rsidR="0025775B" w:rsidRDefault="00000000">
      <w:r>
        <w:br w:type="page"/>
      </w:r>
    </w:p>
    <w:p w14:paraId="635045B3" w14:textId="77777777" w:rsidR="0025775B" w:rsidRDefault="00000000">
      <w:pPr>
        <w:pStyle w:val="Heading1"/>
      </w:pPr>
      <w:r>
        <w:lastRenderedPageBreak/>
        <w:t>A Policy Window in Building Decarbonisation — Worksheet</w:t>
      </w:r>
    </w:p>
    <w:p w14:paraId="198EC43D" w14:textId="77777777" w:rsidR="0025775B" w:rsidRDefault="00000000">
      <w:pPr>
        <w:pStyle w:val="Heading2"/>
      </w:pPr>
      <w:r>
        <w:t>United Kingdom — Centralised-state pair</w:t>
      </w:r>
    </w:p>
    <w:p w14:paraId="150B1455" w14:textId="77777777" w:rsidR="0025775B" w:rsidRDefault="00000000">
      <w:r>
        <w:t>IR227 Seminar 2 — Group worksheet</w:t>
      </w:r>
    </w:p>
    <w:p w14:paraId="6517AEE2" w14:textId="77777777" w:rsidR="0025775B" w:rsidRDefault="00000000">
      <w:pPr>
        <w:pStyle w:val="Heading3"/>
      </w:pPr>
      <w:r>
        <w:t>Task</w:t>
      </w:r>
    </w:p>
    <w:p w14:paraId="589D022C" w14:textId="77777777" w:rsidR="0025775B" w:rsidRDefault="00000000">
      <w:r>
        <w:t>Reconstruct the most recent significant policy window for building decarbonisation in your assigned country. Apply the Multiple Streams Framework (MSF) to what happened. Then ask: would foresight have caught it?</w:t>
      </w:r>
    </w:p>
    <w:p w14:paraId="1A69254F" w14:textId="77777777" w:rsidR="0025775B" w:rsidRDefault="00000000">
      <w:r>
        <w:t>The analytical tools you will deploy are: the three streams (problem, policy, political — which was ready, and which was the binding constraint?), the concept of coupling (what moment, what entrepreneur, what streams joined), and the OECD strategic-foresight toolkit’s five-module process (would it have flagged this window in advance, and which module would have done the flagging?).</w:t>
      </w:r>
    </w:p>
    <w:p w14:paraId="4EC8FA93" w14:textId="77777777" w:rsidR="0025775B" w:rsidRDefault="00000000">
      <w:pPr>
        <w:pStyle w:val="Heading3"/>
      </w:pPr>
      <w:r>
        <w:t>Requirements</w:t>
      </w:r>
    </w:p>
    <w:p w14:paraId="0F41C00F" w14:textId="77777777" w:rsidR="0025775B" w:rsidRDefault="00000000">
      <w:pPr>
        <w:pStyle w:val="ListBullet"/>
      </w:pPr>
      <w:r>
        <w:t>reconstruct the state of each stream in the months before the window,</w:t>
      </w:r>
    </w:p>
    <w:p w14:paraId="6871AD14" w14:textId="77777777" w:rsidR="0025775B" w:rsidRDefault="00000000">
      <w:pPr>
        <w:pStyle w:val="ListBullet"/>
      </w:pPr>
      <w:r>
        <w:t>identify the binding constraint,</w:t>
      </w:r>
    </w:p>
    <w:p w14:paraId="6C09C9DB" w14:textId="77777777" w:rsidR="0025775B" w:rsidRDefault="00000000">
      <w:pPr>
        <w:pStyle w:val="ListBullet"/>
      </w:pPr>
      <w:r>
        <w:t>name the moment the window opened (or note that there wasn’t a single discrete moment) and the entrepreneur, or their absence,</w:t>
      </w:r>
    </w:p>
    <w:p w14:paraId="4E91BE7C" w14:textId="77777777" w:rsidR="0025775B" w:rsidRDefault="00000000">
      <w:pPr>
        <w:pStyle w:val="ListBullet"/>
      </w:pPr>
      <w:r>
        <w:t>explain the coupling that was attempted and defend a verdict (used / used-then-reversed / missed / gradual), and</w:t>
      </w:r>
    </w:p>
    <w:p w14:paraId="4845727D" w14:textId="77777777" w:rsidR="0025775B" w:rsidRDefault="00000000">
      <w:pPr>
        <w:pStyle w:val="ListBullet"/>
      </w:pPr>
      <w:r>
        <w:t>close with a short foresight reflection naming a specific toolkit module and what it would (or would not) have surfaced.</w:t>
      </w:r>
    </w:p>
    <w:p w14:paraId="2B45FE47" w14:textId="77777777" w:rsidR="0025775B" w:rsidRDefault="00000000">
      <w:r>
        <w:t>Note: these cases are deliberately under-determined. There is no single correct verdict — you will be assessed on the strength of the reasoning chain (streams → coupling → verdict → foresight reflection), not on which verdict you reach.</w:t>
      </w:r>
    </w:p>
    <w:p w14:paraId="3738AD9B" w14:textId="77777777" w:rsidR="0025775B" w:rsidRDefault="00000000">
      <w:pPr>
        <w:pStyle w:val="Heading3"/>
      </w:pPr>
      <w:r>
        <w:t>Tool summary</w:t>
      </w:r>
    </w:p>
    <w:p w14:paraId="1468D58C" w14:textId="77777777" w:rsidR="0025775B" w:rsidRDefault="00000000">
      <w:r>
        <w:t>Three streams (Herweg, Zahariadis &amp; Zohlnhöfer 2023). Ask which stream was ready, and which was the binding constraint.</w:t>
      </w:r>
    </w:p>
    <w:p w14:paraId="14D52538" w14:textId="77777777" w:rsidR="0025775B" w:rsidRDefault="00000000">
      <w:pPr>
        <w:pStyle w:val="ListBullet"/>
      </w:pPr>
      <w:r>
        <w:t>Problem stream — indicators, focusing events, and feedback from existing programmes that make an issue count as a policy problem.</w:t>
      </w:r>
    </w:p>
    <w:p w14:paraId="50018226" w14:textId="77777777" w:rsidR="0025775B" w:rsidRDefault="00000000">
      <w:pPr>
        <w:pStyle w:val="ListBullet"/>
      </w:pPr>
      <w:r>
        <w:t>Policy stream — the “primeval soup” of solutions; a proposal survives on technical feasibility and value acceptability, not on how well it fits the problem.</w:t>
      </w:r>
    </w:p>
    <w:p w14:paraId="64EADD78" w14:textId="77777777" w:rsidR="0025775B" w:rsidRDefault="00000000">
      <w:pPr>
        <w:pStyle w:val="ListBullet"/>
      </w:pPr>
      <w:r>
        <w:t>Political stream — national mood, organised political forces, and government turnover; independent of the other two streams.</w:t>
      </w:r>
    </w:p>
    <w:p w14:paraId="213F337D" w14:textId="3F0572E2" w:rsidR="0025775B" w:rsidRDefault="00000000">
      <w:r>
        <w:t xml:space="preserve">Coupling. Streams describe conditions; coupling describes action. Policy change happens when an entrepreneur joins the streams at an open window. Cairney &amp; Jones (2016) set the bar for a </w:t>
      </w:r>
      <w:proofErr w:type="spellStart"/>
      <w:r w:rsidR="00AB0208">
        <w:t>rigourous</w:t>
      </w:r>
      <w:proofErr w:type="spellEnd"/>
      <w:r>
        <w:t xml:space="preserve"> MSF analysis: name the streams, the coupling moment, and the entrepreneur — don’t just invoke the streams as background labels.</w:t>
      </w:r>
    </w:p>
    <w:p w14:paraId="10A715A9" w14:textId="77777777" w:rsidR="0025775B" w:rsidRDefault="00000000">
      <w:r>
        <w:lastRenderedPageBreak/>
        <w:t>Windows. Predictable windows — elections, budget cycles, statutory reviews. Unpredictable windows — crises, scandals, focusing events. A window can open without anyone using it.</w:t>
      </w:r>
    </w:p>
    <w:p w14:paraId="74F6A04D" w14:textId="77777777" w:rsidR="0025775B" w:rsidRDefault="00000000">
      <w:r>
        <w:t>Entrepreneurs invest their own resources — time, reputation, political capital — to couple the streams. Most attempts fail. An entrepreneur is not the same as a veto player: a veto player can block or reshape a coupling attempt without being the one doing the coupling work.</w:t>
      </w:r>
    </w:p>
    <w:p w14:paraId="347094BF" w14:textId="77777777" w:rsidR="0025775B" w:rsidRDefault="00000000">
      <w:r>
        <w:t>OECD Strategic Foresight Toolkit (2025). A five-module sequential process for anticipating disruptions before they happen — Explore Disruptions, Imagine Interactions, Create Scenarios, Envision and Strategise, Recommend Policies (Figure 1.1, p. 16). Your foresight reflection should name a specific module, not the toolkit in general.</w:t>
      </w:r>
    </w:p>
    <w:p w14:paraId="5E073715" w14:textId="77777777" w:rsidR="0025775B" w:rsidRDefault="00000000">
      <w:pPr>
        <w:pStyle w:val="Heading3"/>
      </w:pPr>
      <w:r>
        <w:t>Case specifics (from the case pack)</w:t>
      </w:r>
    </w:p>
    <w:p w14:paraId="55D8F659" w14:textId="77777777" w:rsidR="0025775B" w:rsidRDefault="00000000">
      <w:r>
        <w:t>The Boiler Upgrade Scheme (BUS) was launched in May 2022 as a centrepiece of the UK’s heating-decarbonisation policy. The scheme provided grants for residential heat-pump installation. Its launch followed the 2019 Net Zero Strategy, the 2021 Heat and Buildings Strategy, and COP26 (Glasgow, November 2021). Technical alternatives — hydrogen-ready boilers as a delaying strategy — remained politically active throughout.</w:t>
      </w:r>
    </w:p>
    <w:p w14:paraId="7F6F8660" w14:textId="77777777" w:rsidR="0025775B" w:rsidRDefault="00000000">
      <w:r>
        <w:t>Ministerial and public attention around the scheme was affected by the 2022 leadership turnover (Johnson, Truss, Sunak in succession) and a broader shift in net-zero rhetoric during 2023–2024. By mid-2024, BUS uptake was running far below the scheme’s capacity.</w:t>
      </w:r>
    </w:p>
    <w:p w14:paraId="74830D1A" w14:textId="77777777" w:rsidR="0025775B" w:rsidRDefault="00000000">
      <w:r>
        <w:t>After early 2022, no single minister sustained public attention on the scheme, and no comparable NGO coalition campaign coupled the issue to the political debate. Independently of political attention, the scheme’s design also faced a persistent price gap with gas boilers, an installer-pipeline shortage, and low consumer awareness.</w:t>
      </w:r>
    </w:p>
    <w:p w14:paraId="2CCDE8DF" w14:textId="77777777" w:rsidR="0025775B" w:rsidRDefault="00000000">
      <w:r>
        <w:t>Discussion questions from the case pack</w:t>
      </w:r>
    </w:p>
    <w:p w14:paraId="726B6E81" w14:textId="77777777" w:rsidR="0025775B" w:rsidRDefault="00000000">
      <w:pPr>
        <w:pStyle w:val="ListBullet"/>
      </w:pPr>
      <w:r>
        <w:t>Reconstruct each stream as of late 2021.</w:t>
      </w:r>
    </w:p>
    <w:p w14:paraId="1E7B2D3F" w14:textId="77777777" w:rsidR="0025775B" w:rsidRDefault="00000000">
      <w:pPr>
        <w:pStyle w:val="ListBullet"/>
      </w:pPr>
      <w:r>
        <w:t>Was the entrepreneur absent in this case, or just ineffective? What productive conditions were missing?</w:t>
      </w:r>
    </w:p>
    <w:p w14:paraId="76839064" w14:textId="77777777" w:rsidR="0025775B" w:rsidRDefault="00000000">
      <w:pPr>
        <w:pStyle w:val="ListBullet"/>
      </w:pPr>
      <w:r>
        <w:t>Compare to Germany 2023: same archetype (industrial democracy facing the same problem) — why such different outcomes?</w:t>
      </w:r>
    </w:p>
    <w:p w14:paraId="3047499C" w14:textId="77777777" w:rsidR="0025775B" w:rsidRDefault="00000000">
      <w:pPr>
        <w:pStyle w:val="ListBullet"/>
      </w:pPr>
      <w:r>
        <w:t>Foresight reflection: of the OECD toolkit’s five modules, which would have flagged the political shift ahead of time? Which signals would have been visible 12 months before?</w:t>
      </w:r>
    </w:p>
    <w:p w14:paraId="39DFB41F" w14:textId="77777777" w:rsidR="0025775B" w:rsidRDefault="00000000">
      <w:r>
        <w:br w:type="page"/>
      </w:r>
    </w:p>
    <w:p w14:paraId="560DE9EB" w14:textId="77777777" w:rsidR="0025775B" w:rsidRDefault="00000000">
      <w:pPr>
        <w:pStyle w:val="Heading1"/>
      </w:pPr>
      <w:r>
        <w:lastRenderedPageBreak/>
        <w:t>A Policy Window in Building Decarbonisation — Worksheet</w:t>
      </w:r>
    </w:p>
    <w:p w14:paraId="6ED3C259" w14:textId="77777777" w:rsidR="0025775B" w:rsidRDefault="00000000">
      <w:pPr>
        <w:pStyle w:val="Heading2"/>
      </w:pPr>
      <w:r>
        <w:t>France — Centralised-state pair</w:t>
      </w:r>
    </w:p>
    <w:p w14:paraId="4CD3B256" w14:textId="77777777" w:rsidR="0025775B" w:rsidRDefault="00000000">
      <w:r>
        <w:t>IR227 Seminar 2 — Group worksheet</w:t>
      </w:r>
    </w:p>
    <w:p w14:paraId="706D7D8F" w14:textId="77777777" w:rsidR="0025775B" w:rsidRDefault="00000000">
      <w:pPr>
        <w:pStyle w:val="Heading3"/>
      </w:pPr>
      <w:r>
        <w:t>Task</w:t>
      </w:r>
    </w:p>
    <w:p w14:paraId="3376BB81" w14:textId="77777777" w:rsidR="0025775B" w:rsidRDefault="00000000">
      <w:r>
        <w:t>Reconstruct the most recent significant policy window for building decarbonisation in your assigned country. Apply the Multiple Streams Framework (MSF) to what happened. Then ask: would foresight have caught it?</w:t>
      </w:r>
    </w:p>
    <w:p w14:paraId="6D0414B5" w14:textId="77777777" w:rsidR="0025775B" w:rsidRDefault="00000000">
      <w:r>
        <w:t>The analytical tools you will deploy are: the three streams (problem, policy, political — which was ready, and which was the binding constraint?), the concept of coupling (what moment, what entrepreneur, what streams joined), and the OECD strategic-foresight toolkit’s five-module process (would it have flagged this window in advance, and which module would have done the flagging?).</w:t>
      </w:r>
    </w:p>
    <w:p w14:paraId="509B6395" w14:textId="77777777" w:rsidR="0025775B" w:rsidRDefault="00000000">
      <w:pPr>
        <w:pStyle w:val="Heading3"/>
      </w:pPr>
      <w:r>
        <w:t>Requirements</w:t>
      </w:r>
    </w:p>
    <w:p w14:paraId="74482078" w14:textId="77777777" w:rsidR="0025775B" w:rsidRDefault="00000000">
      <w:pPr>
        <w:pStyle w:val="ListBullet"/>
      </w:pPr>
      <w:r>
        <w:t>reconstruct the state of each stream in the months before the window,</w:t>
      </w:r>
    </w:p>
    <w:p w14:paraId="0E129787" w14:textId="77777777" w:rsidR="0025775B" w:rsidRDefault="00000000">
      <w:pPr>
        <w:pStyle w:val="ListBullet"/>
      </w:pPr>
      <w:r>
        <w:t>identify the binding constraint,</w:t>
      </w:r>
    </w:p>
    <w:p w14:paraId="7A4BDA4D" w14:textId="77777777" w:rsidR="0025775B" w:rsidRDefault="00000000">
      <w:pPr>
        <w:pStyle w:val="ListBullet"/>
      </w:pPr>
      <w:r>
        <w:t>name the moment the window opened (or note that there wasn’t a single discrete moment) and the entrepreneur, or their absence,</w:t>
      </w:r>
    </w:p>
    <w:p w14:paraId="4B02A805" w14:textId="77777777" w:rsidR="0025775B" w:rsidRDefault="00000000">
      <w:pPr>
        <w:pStyle w:val="ListBullet"/>
      </w:pPr>
      <w:r>
        <w:t>explain the coupling that was attempted and defend a verdict (used / used-then-reversed / missed / gradual), and</w:t>
      </w:r>
    </w:p>
    <w:p w14:paraId="3FF49EF5" w14:textId="77777777" w:rsidR="0025775B" w:rsidRDefault="00000000">
      <w:pPr>
        <w:pStyle w:val="ListBullet"/>
      </w:pPr>
      <w:r>
        <w:t>close with a short foresight reflection naming a specific toolkit module and what it would (or would not) have surfaced.</w:t>
      </w:r>
    </w:p>
    <w:p w14:paraId="2683005C" w14:textId="77777777" w:rsidR="0025775B" w:rsidRDefault="00000000">
      <w:r>
        <w:t>Note: these cases are deliberately under-determined. There is no single correct verdict — you will be assessed on the strength of the reasoning chain (streams → coupling → verdict → foresight reflection), not on which verdict you reach.</w:t>
      </w:r>
    </w:p>
    <w:p w14:paraId="0AB19DB8" w14:textId="77777777" w:rsidR="0025775B" w:rsidRDefault="00000000">
      <w:pPr>
        <w:pStyle w:val="Heading3"/>
      </w:pPr>
      <w:r>
        <w:t>Tool summary</w:t>
      </w:r>
    </w:p>
    <w:p w14:paraId="5AFC5C95" w14:textId="77777777" w:rsidR="0025775B" w:rsidRDefault="00000000">
      <w:r>
        <w:t>Three streams (Herweg, Zahariadis &amp; Zohlnhöfer 2023). Ask which stream was ready, and which was the binding constraint.</w:t>
      </w:r>
    </w:p>
    <w:p w14:paraId="1E789793" w14:textId="77777777" w:rsidR="0025775B" w:rsidRDefault="00000000">
      <w:pPr>
        <w:pStyle w:val="ListBullet"/>
      </w:pPr>
      <w:r>
        <w:t>Problem stream — indicators, focusing events, and feedback from existing programmes that make an issue count as a policy problem.</w:t>
      </w:r>
    </w:p>
    <w:p w14:paraId="135B94E8" w14:textId="77777777" w:rsidR="0025775B" w:rsidRDefault="00000000">
      <w:pPr>
        <w:pStyle w:val="ListBullet"/>
      </w:pPr>
      <w:r>
        <w:t>Policy stream — the “primeval soup” of solutions; a proposal survives on technical feasibility and value acceptability, not on how well it fits the problem.</w:t>
      </w:r>
    </w:p>
    <w:p w14:paraId="3B6C4C18" w14:textId="77777777" w:rsidR="0025775B" w:rsidRDefault="00000000">
      <w:pPr>
        <w:pStyle w:val="ListBullet"/>
      </w:pPr>
      <w:r>
        <w:t>Political stream — national mood, organised political forces, and government turnover; independent of the other two streams.</w:t>
      </w:r>
    </w:p>
    <w:p w14:paraId="44AFF6F5" w14:textId="7A2B3C0E" w:rsidR="0025775B" w:rsidRDefault="00000000">
      <w:r>
        <w:t xml:space="preserve">Coupling. Streams describe conditions; coupling describes action. Policy change happens when an entrepreneur joins the streams at an open window. Cairney &amp; Jones (2016) set the bar for a </w:t>
      </w:r>
      <w:proofErr w:type="spellStart"/>
      <w:r w:rsidR="00AB0208">
        <w:t>rigourous</w:t>
      </w:r>
      <w:proofErr w:type="spellEnd"/>
      <w:r>
        <w:t xml:space="preserve"> MSF analysis: name the streams, the coupling moment, and the entrepreneur — don’t just invoke the streams as background labels.</w:t>
      </w:r>
    </w:p>
    <w:p w14:paraId="2DA1DE5C" w14:textId="77777777" w:rsidR="0025775B" w:rsidRDefault="00000000">
      <w:r>
        <w:lastRenderedPageBreak/>
        <w:t>Windows. Predictable windows — elections, budget cycles, statutory reviews. Unpredictable windows — crises, scandals, focusing events. A window can open without anyone using it.</w:t>
      </w:r>
    </w:p>
    <w:p w14:paraId="35DC4298" w14:textId="77777777" w:rsidR="0025775B" w:rsidRDefault="00000000">
      <w:r>
        <w:t>Entrepreneurs invest their own resources — time, reputation, political capital — to couple the streams. Most attempts fail. An entrepreneur is not the same as a veto player: a veto player can block or reshape a coupling attempt without being the one doing the coupling work.</w:t>
      </w:r>
    </w:p>
    <w:p w14:paraId="5DF38C85" w14:textId="77777777" w:rsidR="0025775B" w:rsidRDefault="00000000">
      <w:r>
        <w:t>OECD Strategic Foresight Toolkit (2025). A five-module sequential process for anticipating disruptions before they happen — Explore Disruptions, Imagine Interactions, Create Scenarios, Envision and Strategise, Recommend Policies (Figure 1.1, p. 16). Your foresight reflection should name a specific module, not the toolkit in general.</w:t>
      </w:r>
    </w:p>
    <w:p w14:paraId="6362B935" w14:textId="77777777" w:rsidR="0025775B" w:rsidRDefault="00000000">
      <w:pPr>
        <w:pStyle w:val="Heading3"/>
      </w:pPr>
      <w:r>
        <w:t>Case specifics (from the case pack)</w:t>
      </w:r>
    </w:p>
    <w:p w14:paraId="5D681FDC" w14:textId="77777777" w:rsidR="0025775B" w:rsidRDefault="00000000">
      <w:r>
        <w:t>MaPrimeRénov’ is the French residential energy-efficiency grant scheme, replacing earlier, less effective tax-credit-based schemes. It was launched in January 2020 and has been redesigned at least three times since (2022, 2024). Each iteration adjusted eligibility, generosity, technical requirements, and the role of the executing agency, the Agence nationale de l’habitat (ANAH). The 2019–2020 Citizens’ Convention on Climate is widely treated as a focusing event for the scheme’s original launch.</w:t>
      </w:r>
    </w:p>
    <w:p w14:paraId="7E9B338E" w14:textId="77777777" w:rsidR="0025775B" w:rsidRDefault="00000000">
      <w:r>
        <w:t>Each redesign involved technical lessons from implementation feeding back into the policy debate, alongside political conditions that allowed the redesign to proceed; ANAH and the Ministry of Ecological Transition were involved in each iteration. Uptake has been meaningfully higher than the UK’s BUS, though outcomes are mixed and the scheme has remained politically contested.</w:t>
      </w:r>
    </w:p>
    <w:p w14:paraId="2315B95C" w14:textId="6A6DD99A" w:rsidR="0025775B" w:rsidRPr="00AB0208" w:rsidRDefault="00000000">
      <w:pPr>
        <w:rPr>
          <w:lang w:val="en-IT"/>
        </w:rPr>
      </w:pPr>
      <w:r>
        <w:t>Unlike the Germany and US cases, no single minister or ad hoc political coalition is centrally associated with MaPrimeRénov’; ANAH is a standing technical agency that has been involved continuously across all three redesigns.</w:t>
      </w:r>
      <w:r w:rsidR="00AB0208">
        <w:t xml:space="preserve"> The scheme was then</w:t>
      </w:r>
      <w:r w:rsidR="00AB0208" w:rsidRPr="00AB0208">
        <w:rPr>
          <w:b/>
          <w:bCs/>
          <w:lang w:val="en-IT"/>
        </w:rPr>
        <w:t xml:space="preserve"> </w:t>
      </w:r>
      <w:r w:rsidR="00AB0208" w:rsidRPr="00AB0208">
        <w:rPr>
          <w:lang w:val="en-IT"/>
        </w:rPr>
        <w:t>suspended January 2026 pending the budget, reopening in reduced form from February 2026</w:t>
      </w:r>
      <w:r w:rsidR="00AB0208" w:rsidRPr="00AB0208">
        <w:rPr>
          <w:lang w:val="en-IT"/>
        </w:rPr>
        <w:t>.</w:t>
      </w:r>
    </w:p>
    <w:p w14:paraId="52BD3448" w14:textId="77777777" w:rsidR="0025775B" w:rsidRDefault="00000000">
      <w:r>
        <w:t>Discussion questions from the case pack</w:t>
      </w:r>
    </w:p>
    <w:p w14:paraId="3F8B9303" w14:textId="77777777" w:rsidR="0025775B" w:rsidRDefault="00000000">
      <w:pPr>
        <w:pStyle w:val="ListBullet"/>
      </w:pPr>
      <w:r>
        <w:t>What does repeated redesign look like in MSF terms — is it many small windows, or one slow window?</w:t>
      </w:r>
    </w:p>
    <w:p w14:paraId="6893A04C" w14:textId="77777777" w:rsidR="0025775B" w:rsidRDefault="00000000">
      <w:pPr>
        <w:pStyle w:val="ListBullet"/>
      </w:pPr>
      <w:r>
        <w:t>Is institutional involvement like ANAH’s really an instance of MSF’s policy-entrepreneur category, or does it require the framework’s adaptation?</w:t>
      </w:r>
    </w:p>
    <w:p w14:paraId="02796505" w14:textId="77777777" w:rsidR="0025775B" w:rsidRDefault="00000000">
      <w:pPr>
        <w:pStyle w:val="ListBullet"/>
      </w:pPr>
      <w:r>
        <w:t>Compare to the UK: similar institutional centralisation, very different outcomes. What is doing the explanatory work?</w:t>
      </w:r>
    </w:p>
    <w:p w14:paraId="06252964" w14:textId="77777777" w:rsidR="0025775B" w:rsidRDefault="00000000">
      <w:pPr>
        <w:pStyle w:val="ListBullet"/>
      </w:pPr>
      <w:r>
        <w:t>Foresight reflection: which modules of the OECD toolkit would have most usefully informed each redesign, and why?</w:t>
      </w:r>
    </w:p>
    <w:p w14:paraId="5AB19A20" w14:textId="77777777" w:rsidR="0025775B" w:rsidRDefault="00000000">
      <w:r>
        <w:br w:type="page"/>
      </w:r>
    </w:p>
    <w:p w14:paraId="6A72A251" w14:textId="77777777" w:rsidR="0025775B" w:rsidRDefault="00000000">
      <w:pPr>
        <w:pStyle w:val="Heading1"/>
      </w:pPr>
      <w:r>
        <w:lastRenderedPageBreak/>
        <w:t>A Policy Window in Building Decarbonisation — Worksheet</w:t>
      </w:r>
    </w:p>
    <w:p w14:paraId="4AC9F323" w14:textId="77777777" w:rsidR="0025775B" w:rsidRDefault="00000000">
      <w:pPr>
        <w:pStyle w:val="Heading2"/>
      </w:pPr>
      <w:r>
        <w:t>The Netherlands — Smaller-state pair</w:t>
      </w:r>
    </w:p>
    <w:p w14:paraId="40816D44" w14:textId="77777777" w:rsidR="0025775B" w:rsidRDefault="00000000">
      <w:r>
        <w:t>IR227 Seminar 2 — Group worksheet</w:t>
      </w:r>
    </w:p>
    <w:p w14:paraId="4049A497" w14:textId="77777777" w:rsidR="0025775B" w:rsidRDefault="00000000">
      <w:pPr>
        <w:pStyle w:val="Heading3"/>
      </w:pPr>
      <w:r>
        <w:t>Task</w:t>
      </w:r>
    </w:p>
    <w:p w14:paraId="643C1B5B" w14:textId="77777777" w:rsidR="0025775B" w:rsidRDefault="00000000">
      <w:r>
        <w:t>Reconstruct the most recent significant policy window for building decarbonisation in your assigned country. Apply the Multiple Streams Framework (MSF) to what happened. Then ask: would foresight have caught it?</w:t>
      </w:r>
    </w:p>
    <w:p w14:paraId="70F25E7A" w14:textId="77777777" w:rsidR="0025775B" w:rsidRDefault="00000000">
      <w:r>
        <w:t>The analytical tools you will deploy are: the three streams (problem, policy, political — which was ready, and which was the binding constraint?), the concept of coupling (what moment, what entrepreneur, what streams joined), and the OECD strategic-foresight toolkit’s five-module process (would it have flagged this window in advance, and which module would have done the flagging?).</w:t>
      </w:r>
    </w:p>
    <w:p w14:paraId="1D1F6828" w14:textId="77777777" w:rsidR="0025775B" w:rsidRDefault="00000000">
      <w:pPr>
        <w:pStyle w:val="Heading3"/>
      </w:pPr>
      <w:r>
        <w:t>Requirements</w:t>
      </w:r>
    </w:p>
    <w:p w14:paraId="58EB877E" w14:textId="77777777" w:rsidR="0025775B" w:rsidRDefault="00000000">
      <w:pPr>
        <w:pStyle w:val="ListBullet"/>
      </w:pPr>
      <w:r>
        <w:t>reconstruct the state of each stream in the months before the window,</w:t>
      </w:r>
    </w:p>
    <w:p w14:paraId="5EB9D91E" w14:textId="77777777" w:rsidR="0025775B" w:rsidRDefault="00000000">
      <w:pPr>
        <w:pStyle w:val="ListBullet"/>
      </w:pPr>
      <w:r>
        <w:t>identify the binding constraint,</w:t>
      </w:r>
    </w:p>
    <w:p w14:paraId="1ACB46C4" w14:textId="77777777" w:rsidR="0025775B" w:rsidRDefault="00000000">
      <w:pPr>
        <w:pStyle w:val="ListBullet"/>
      </w:pPr>
      <w:r>
        <w:t>name the moment the window opened (or note that there wasn’t a single discrete moment) and the entrepreneur, or their absence,</w:t>
      </w:r>
    </w:p>
    <w:p w14:paraId="03669224" w14:textId="77777777" w:rsidR="0025775B" w:rsidRDefault="00000000">
      <w:pPr>
        <w:pStyle w:val="ListBullet"/>
      </w:pPr>
      <w:r>
        <w:t>explain the coupling that was attempted and defend a verdict (used / used-then-reversed / missed / gradual), and</w:t>
      </w:r>
    </w:p>
    <w:p w14:paraId="110126C1" w14:textId="77777777" w:rsidR="0025775B" w:rsidRDefault="00000000">
      <w:pPr>
        <w:pStyle w:val="ListBullet"/>
      </w:pPr>
      <w:r>
        <w:t>close with a short foresight reflection naming a specific toolkit module and what it would (or would not) have surfaced.</w:t>
      </w:r>
    </w:p>
    <w:p w14:paraId="74386C03" w14:textId="77777777" w:rsidR="0025775B" w:rsidRDefault="00000000">
      <w:r>
        <w:t>Note: these cases are deliberately under-determined. There is no single correct verdict — you will be assessed on the strength of the reasoning chain (streams → coupling → verdict → foresight reflection), not on which verdict you reach.</w:t>
      </w:r>
    </w:p>
    <w:p w14:paraId="3394AE3F" w14:textId="77777777" w:rsidR="0025775B" w:rsidRDefault="00000000">
      <w:pPr>
        <w:pStyle w:val="Heading3"/>
      </w:pPr>
      <w:r>
        <w:t>Tool summary</w:t>
      </w:r>
    </w:p>
    <w:p w14:paraId="69ED63CD" w14:textId="77777777" w:rsidR="0025775B" w:rsidRDefault="00000000">
      <w:r>
        <w:t>Three streams (Herweg, Zahariadis &amp; Zohlnhöfer 2023). Ask which stream was ready, and which was the binding constraint.</w:t>
      </w:r>
    </w:p>
    <w:p w14:paraId="531AA329" w14:textId="77777777" w:rsidR="0025775B" w:rsidRDefault="00000000">
      <w:pPr>
        <w:pStyle w:val="ListBullet"/>
      </w:pPr>
      <w:r>
        <w:t>Problem stream — indicators, focusing events, and feedback from existing programmes that make an issue count as a policy problem.</w:t>
      </w:r>
    </w:p>
    <w:p w14:paraId="3FF2471E" w14:textId="77777777" w:rsidR="0025775B" w:rsidRDefault="00000000">
      <w:pPr>
        <w:pStyle w:val="ListBullet"/>
      </w:pPr>
      <w:r>
        <w:t>Policy stream — the “primeval soup” of solutions; a proposal survives on technical feasibility and value acceptability, not on how well it fits the problem.</w:t>
      </w:r>
    </w:p>
    <w:p w14:paraId="4C9F20F7" w14:textId="77777777" w:rsidR="0025775B" w:rsidRDefault="00000000">
      <w:pPr>
        <w:pStyle w:val="ListBullet"/>
      </w:pPr>
      <w:r>
        <w:t>Political stream — national mood, organised political forces, and government turnover; independent of the other two streams.</w:t>
      </w:r>
    </w:p>
    <w:p w14:paraId="0FC0801F" w14:textId="58CBCE7C" w:rsidR="0025775B" w:rsidRDefault="00000000">
      <w:r>
        <w:t xml:space="preserve">Coupling. Streams describe conditions; coupling describes action. Policy change happens when an entrepreneur joins the streams at an open window. Cairney &amp; Jones (2016) set the bar for a </w:t>
      </w:r>
      <w:r w:rsidR="00AB0208">
        <w:t xml:space="preserve">rigorous </w:t>
      </w:r>
      <w:r>
        <w:t>MSF analysis: name the streams, the coupling moment, and the entrepreneur — don’t just invoke the streams as background labels.</w:t>
      </w:r>
    </w:p>
    <w:p w14:paraId="66FFD750" w14:textId="77777777" w:rsidR="0025775B" w:rsidRDefault="00000000">
      <w:r>
        <w:lastRenderedPageBreak/>
        <w:t>Windows. Predictable windows — elections, budget cycles, statutory reviews. Unpredictable windows — crises, scandals, focusing events. A window can open without anyone using it.</w:t>
      </w:r>
    </w:p>
    <w:p w14:paraId="7FF3FEC9" w14:textId="77777777" w:rsidR="0025775B" w:rsidRDefault="00000000">
      <w:r>
        <w:t>Entrepreneurs invest their own resources — time, reputation, political capital — to couple the streams. Most attempts fail. An entrepreneur is not the same as a veto player: a veto player can block or reshape a coupling attempt without being the one doing the coupling work.</w:t>
      </w:r>
    </w:p>
    <w:p w14:paraId="4E826658" w14:textId="77777777" w:rsidR="0025775B" w:rsidRDefault="00000000">
      <w:r>
        <w:t>OECD Strategic Foresight Toolkit (2025). A five-module sequential process for anticipating disruptions before they happen — Explore Disruptions, Imagine Interactions, Create Scenarios, Envision and Strategise, Recommend Policies (Figure 1.1, p. 16). Your foresight reflection should name a specific module, not the toolkit in general.</w:t>
      </w:r>
    </w:p>
    <w:p w14:paraId="7B9D2B96" w14:textId="77777777" w:rsidR="0025775B" w:rsidRDefault="00000000">
      <w:pPr>
        <w:pStyle w:val="Heading3"/>
      </w:pPr>
      <w:r>
        <w:t>Case specifics (from the case pack)</w:t>
      </w:r>
    </w:p>
    <w:p w14:paraId="579E0FBA" w14:textId="77777777" w:rsidR="0025775B" w:rsidRDefault="00000000">
      <w:r>
        <w:t>The 2018–2019 Dutch decision to wind down the Groningen gas field, prompted by structural earthquake damage and sustained civil-society pressure, opened a long-running debate over residential gas phase-out. The 2022 Russia-gas crisis sharpened the problem; the post-2021 Rutte IV cabinet pursued a relatively coherent climate policy; and the well-organised Dutch housing-corporation sector was part of a broader institutional coalition. Municipal-level pilots had been running since the late 2010s.</w:t>
      </w:r>
    </w:p>
    <w:p w14:paraId="65CE44AF" w14:textId="77777777" w:rsidR="0025775B" w:rsidRDefault="00000000">
      <w:r>
        <w:t>The 2021–2023 energie-isolatieprogramma and the residential gas phase-out arrangements that emerged involved the Ministry of Climate and Energy, municipal governments, and the housing-corporation sector working together; disagreement over the measures within national politics was comparatively limited. Implementation has been slow but durable.</w:t>
      </w:r>
    </w:p>
    <w:p w14:paraId="674400D3" w14:textId="77777777" w:rsidR="0025775B" w:rsidRDefault="00000000">
      <w:r>
        <w:t>Discussion questions from the case pack</w:t>
      </w:r>
    </w:p>
    <w:p w14:paraId="36E08FDF" w14:textId="77777777" w:rsidR="0025775B" w:rsidRDefault="00000000">
      <w:pPr>
        <w:pStyle w:val="ListBullet"/>
      </w:pPr>
      <w:r>
        <w:t>What, if anything, made this case different from Germany’s or the UK’s?</w:t>
      </w:r>
    </w:p>
    <w:p w14:paraId="5FFC2318" w14:textId="77777777" w:rsidR="0025775B" w:rsidRDefault="00000000">
      <w:pPr>
        <w:pStyle w:val="ListBullet"/>
      </w:pPr>
      <w:r>
        <w:t>Is this case a vindication of MSF’s analytical logic, or does it depend on conditions (Groningen, housing-corporation organisation) that don’t generalise?</w:t>
      </w:r>
    </w:p>
    <w:p w14:paraId="66DB3BB0" w14:textId="77777777" w:rsidR="0025775B" w:rsidRDefault="00000000">
      <w:pPr>
        <w:pStyle w:val="ListBullet"/>
      </w:pPr>
      <w:r>
        <w:t>Foresight reflection: which modules of the OECD toolkit would have surfaced signals ahead of the 2021–2023 period? Were there any it would have missed?</w:t>
      </w:r>
    </w:p>
    <w:p w14:paraId="038DC554" w14:textId="77777777" w:rsidR="0025775B" w:rsidRDefault="00000000">
      <w:r>
        <w:br w:type="page"/>
      </w:r>
    </w:p>
    <w:p w14:paraId="70D7DAB0" w14:textId="77777777" w:rsidR="0025775B" w:rsidRDefault="00000000">
      <w:pPr>
        <w:pStyle w:val="Heading1"/>
      </w:pPr>
      <w:r>
        <w:lastRenderedPageBreak/>
        <w:t>A Policy Window in Building Decarbonisation — Worksheet</w:t>
      </w:r>
    </w:p>
    <w:p w14:paraId="23ED9477" w14:textId="77777777" w:rsidR="0025775B" w:rsidRDefault="00000000">
      <w:pPr>
        <w:pStyle w:val="Heading2"/>
      </w:pPr>
      <w:r>
        <w:t>Sweden — Smaller-state pair</w:t>
      </w:r>
    </w:p>
    <w:p w14:paraId="6C655CE3" w14:textId="77777777" w:rsidR="0025775B" w:rsidRDefault="00000000">
      <w:r>
        <w:t>IR227 Seminar 2 — Group worksheet</w:t>
      </w:r>
    </w:p>
    <w:p w14:paraId="07A9717F" w14:textId="77777777" w:rsidR="0025775B" w:rsidRDefault="00000000">
      <w:pPr>
        <w:pStyle w:val="Heading3"/>
      </w:pPr>
      <w:r>
        <w:t>Task</w:t>
      </w:r>
    </w:p>
    <w:p w14:paraId="0A73C086" w14:textId="77777777" w:rsidR="0025775B" w:rsidRDefault="00000000">
      <w:r>
        <w:t>Reconstruct the most recent significant policy window for building decarbonisation in your assigned country. Apply the Multiple Streams Framework (MSF) to what happened. Then ask: would foresight have caught it?</w:t>
      </w:r>
    </w:p>
    <w:p w14:paraId="15AD8EAD" w14:textId="77777777" w:rsidR="0025775B" w:rsidRDefault="00000000">
      <w:r>
        <w:t>The analytical tools you will deploy are: the three streams (problem, policy, political — which was ready, and which was the binding constraint?), the concept of coupling (what moment, what entrepreneur, what streams joined), and the OECD strategic-foresight toolkit’s five-module process (would it have flagged this window in advance, and which module would have done the flagging?).</w:t>
      </w:r>
    </w:p>
    <w:p w14:paraId="3E474CF4" w14:textId="77777777" w:rsidR="0025775B" w:rsidRDefault="00000000">
      <w:pPr>
        <w:pStyle w:val="Heading3"/>
      </w:pPr>
      <w:r>
        <w:t>Requirements</w:t>
      </w:r>
    </w:p>
    <w:p w14:paraId="505FF8C4" w14:textId="77777777" w:rsidR="0025775B" w:rsidRDefault="00000000">
      <w:pPr>
        <w:pStyle w:val="ListBullet"/>
      </w:pPr>
      <w:r>
        <w:t>reconstruct the state of each stream in the months before the window,</w:t>
      </w:r>
    </w:p>
    <w:p w14:paraId="0CD76607" w14:textId="77777777" w:rsidR="0025775B" w:rsidRDefault="00000000">
      <w:pPr>
        <w:pStyle w:val="ListBullet"/>
      </w:pPr>
      <w:r>
        <w:t>identify the binding constraint,</w:t>
      </w:r>
    </w:p>
    <w:p w14:paraId="3E71C075" w14:textId="77777777" w:rsidR="0025775B" w:rsidRDefault="00000000">
      <w:pPr>
        <w:pStyle w:val="ListBullet"/>
      </w:pPr>
      <w:r>
        <w:t>name the moment the window opened (or note that there wasn’t a single discrete moment) and the entrepreneur, or their absence,</w:t>
      </w:r>
    </w:p>
    <w:p w14:paraId="2CF11EE6" w14:textId="77777777" w:rsidR="0025775B" w:rsidRDefault="00000000">
      <w:pPr>
        <w:pStyle w:val="ListBullet"/>
      </w:pPr>
      <w:r>
        <w:t>explain the coupling that was attempted and defend a verdict (used / used-then-reversed / missed / gradual), and</w:t>
      </w:r>
    </w:p>
    <w:p w14:paraId="393B2197" w14:textId="77777777" w:rsidR="0025775B" w:rsidRDefault="00000000">
      <w:pPr>
        <w:pStyle w:val="ListBullet"/>
      </w:pPr>
      <w:r>
        <w:t>close with a short foresight reflection naming a specific toolkit module and what it would (or would not) have surfaced.</w:t>
      </w:r>
    </w:p>
    <w:p w14:paraId="2C847500" w14:textId="77777777" w:rsidR="0025775B" w:rsidRDefault="00000000">
      <w:r>
        <w:t>Note: these cases are deliberately under-determined. There is no single correct verdict — you will be assessed on the strength of the reasoning chain (streams → coupling → verdict → foresight reflection), not on which verdict you reach.</w:t>
      </w:r>
    </w:p>
    <w:p w14:paraId="70893DFD" w14:textId="77777777" w:rsidR="0025775B" w:rsidRDefault="00000000">
      <w:pPr>
        <w:pStyle w:val="Heading3"/>
      </w:pPr>
      <w:r>
        <w:t>Tool summary</w:t>
      </w:r>
    </w:p>
    <w:p w14:paraId="5C1C0D91" w14:textId="77777777" w:rsidR="0025775B" w:rsidRDefault="00000000">
      <w:r>
        <w:t>Three streams (Herweg, Zahariadis &amp; Zohlnhöfer 2023). Ask which stream was ready, and which was the binding constraint.</w:t>
      </w:r>
    </w:p>
    <w:p w14:paraId="3B415ADA" w14:textId="77777777" w:rsidR="0025775B" w:rsidRDefault="00000000">
      <w:pPr>
        <w:pStyle w:val="ListBullet"/>
      </w:pPr>
      <w:r>
        <w:t>Problem stream — indicators, focusing events, and feedback from existing programmes that make an issue count as a policy problem.</w:t>
      </w:r>
    </w:p>
    <w:p w14:paraId="55473B9B" w14:textId="77777777" w:rsidR="0025775B" w:rsidRDefault="00000000">
      <w:pPr>
        <w:pStyle w:val="ListBullet"/>
      </w:pPr>
      <w:r>
        <w:t>Policy stream — the “primeval soup” of solutions; a proposal survives on technical feasibility and value acceptability, not on how well it fits the problem.</w:t>
      </w:r>
    </w:p>
    <w:p w14:paraId="28C67E0E" w14:textId="77777777" w:rsidR="0025775B" w:rsidRDefault="00000000">
      <w:pPr>
        <w:pStyle w:val="ListBullet"/>
      </w:pPr>
      <w:r>
        <w:t>Political stream — national mood, organised political forces, and government turnover; independent of the other two streams.</w:t>
      </w:r>
    </w:p>
    <w:p w14:paraId="61DEA345" w14:textId="0594B5C3" w:rsidR="0025775B" w:rsidRDefault="00000000">
      <w:r>
        <w:t xml:space="preserve">Coupling. Streams describe conditions; coupling describes action. Policy change happens when an entrepreneur joins the streams at an open window. Cairney &amp; Jones (2016) set the bar for a </w:t>
      </w:r>
      <w:proofErr w:type="spellStart"/>
      <w:r w:rsidR="00AB0208">
        <w:t>rigourous</w:t>
      </w:r>
      <w:proofErr w:type="spellEnd"/>
      <w:r>
        <w:t xml:space="preserve"> MSF analysis: name the streams, the coupling moment, and the entrepreneur — don’t just invoke the streams as background labels.</w:t>
      </w:r>
    </w:p>
    <w:p w14:paraId="352A7325" w14:textId="77777777" w:rsidR="0025775B" w:rsidRDefault="00000000">
      <w:r>
        <w:lastRenderedPageBreak/>
        <w:t>Windows. Predictable windows — elections, budget cycles, statutory reviews. Unpredictable windows — crises, scandals, focusing events. A window can open without anyone using it.</w:t>
      </w:r>
    </w:p>
    <w:p w14:paraId="38902D8E" w14:textId="77777777" w:rsidR="0025775B" w:rsidRDefault="00000000">
      <w:r>
        <w:t>Entrepreneurs invest their own resources — time, reputation, political capital — to couple the streams. Most attempts fail. An entrepreneur is not the same as a veto player: a veto player can block or reshape a coupling attempt without being the one doing the coupling work.</w:t>
      </w:r>
    </w:p>
    <w:p w14:paraId="0E3075A2" w14:textId="77777777" w:rsidR="0025775B" w:rsidRDefault="00000000">
      <w:r>
        <w:t>OECD Strategic Foresight Toolkit (2025). A five-module sequential process for anticipating disruptions before they happen — Explore Disruptions, Imagine Interactions, Create Scenarios, Envision and Strategise, Recommend Policies (Figure 1.1, p. 16). Your foresight reflection should name a specific module, not the toolkit in general.</w:t>
      </w:r>
    </w:p>
    <w:p w14:paraId="741D818B" w14:textId="77777777" w:rsidR="0025775B" w:rsidRDefault="00000000">
      <w:pPr>
        <w:pStyle w:val="Heading3"/>
      </w:pPr>
      <w:r>
        <w:t>Case specifics (from the case pack)</w:t>
      </w:r>
    </w:p>
    <w:p w14:paraId="2AFFAC74" w14:textId="77777777" w:rsidR="0025775B" w:rsidRDefault="00000000">
      <w:r>
        <w:t>Sweden’s residential heat-pump deployment grew over a much longer period than the other five cases. The 1990s carbon tax established a price signal; subsequent technology subsidies supported deployment; the 2010s nuclear-phase-out reversal stabilised electricity availability; and cross-party climate consensus through most of the 2010s reduced political volatility on the issue. By the early 2020s, Sweden had among the highest residential heat-pump deployment rates in the world.</w:t>
      </w:r>
    </w:p>
    <w:p w14:paraId="2D87BAD4" w14:textId="77777777" w:rsidR="0025775B" w:rsidRDefault="00000000">
      <w:r>
        <w:t>Unlike the other five cases, there is no single episode — comparable to a legislative vote or a scheme launch — that stands out as the moment of change.</w:t>
      </w:r>
    </w:p>
    <w:p w14:paraId="0CAE5D9A" w14:textId="77777777" w:rsidR="0025775B" w:rsidRDefault="00000000">
      <w:r>
        <w:t>Discussion questions from the case pack</w:t>
      </w:r>
    </w:p>
    <w:p w14:paraId="18498C4E" w14:textId="77777777" w:rsidR="0025775B" w:rsidRDefault="00000000">
      <w:pPr>
        <w:pStyle w:val="ListBullet"/>
      </w:pPr>
      <w:r>
        <w:t>Does this case fit the MSF claim that policy change requires a discrete window, or does it require different vocabulary?</w:t>
      </w:r>
    </w:p>
    <w:p w14:paraId="58983805" w14:textId="77777777" w:rsidR="0025775B" w:rsidRDefault="00000000">
      <w:pPr>
        <w:pStyle w:val="ListBullet"/>
      </w:pPr>
      <w:r>
        <w:t>How does the Mahoney–Thelen vocabulary of layering, drift, and conversion fit here, if at all?</w:t>
      </w:r>
    </w:p>
    <w:p w14:paraId="62A9EDAF" w14:textId="77777777" w:rsidR="0025775B" w:rsidRDefault="00000000">
      <w:pPr>
        <w:pStyle w:val="ListBullet"/>
      </w:pPr>
      <w:r>
        <w:t>Foresight reflection: which modules of the OECD toolkit are well-suited to anticipating gradual change? Which would be poorly suited, and why?</w:t>
      </w:r>
    </w:p>
    <w:sectPr w:rsidR="0025775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73555985">
    <w:abstractNumId w:val="8"/>
  </w:num>
  <w:num w:numId="2" w16cid:durableId="1366563869">
    <w:abstractNumId w:val="6"/>
  </w:num>
  <w:num w:numId="3" w16cid:durableId="1202668815">
    <w:abstractNumId w:val="5"/>
  </w:num>
  <w:num w:numId="4" w16cid:durableId="892079298">
    <w:abstractNumId w:val="4"/>
  </w:num>
  <w:num w:numId="5" w16cid:durableId="1506898117">
    <w:abstractNumId w:val="7"/>
  </w:num>
  <w:num w:numId="6" w16cid:durableId="2120489874">
    <w:abstractNumId w:val="3"/>
  </w:num>
  <w:num w:numId="7" w16cid:durableId="1656684556">
    <w:abstractNumId w:val="2"/>
  </w:num>
  <w:num w:numId="8" w16cid:durableId="505946227">
    <w:abstractNumId w:val="1"/>
  </w:num>
  <w:num w:numId="9" w16cid:durableId="61718063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775B"/>
    <w:rsid w:val="0029639D"/>
    <w:rsid w:val="00326F90"/>
    <w:rsid w:val="003471CE"/>
    <w:rsid w:val="005D1614"/>
    <w:rsid w:val="00AA1D8D"/>
    <w:rsid w:val="00AB0208"/>
    <w:rsid w:val="00B47730"/>
    <w:rsid w:val="00CB0664"/>
    <w:rsid w:val="00D4168F"/>
    <w:rsid w:val="00EC6FA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009A4B"/>
  <w14:defaultImageDpi w14:val="300"/>
  <w15:docId w15:val="{4748AFA2-E8F9-B747-B259-C32C5CF8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AB020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4128</Words>
  <Characters>23531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Pro,E (pgr)</cp:lastModifiedBy>
  <cp:revision>3</cp:revision>
  <dcterms:created xsi:type="dcterms:W3CDTF">2013-12-23T23:15:00Z</dcterms:created>
  <dcterms:modified xsi:type="dcterms:W3CDTF">2026-07-14T11:37:00Z</dcterms:modified>
  <cp:category/>
</cp:coreProperties>
</file>