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Regional Transition Diagnostic — Worksheet</w:t>
      </w:r>
    </w:p>
    <w:p>
      <w:pPr>
        <w:pStyle w:val="Heading2"/>
      </w:pPr>
      <w:r>
        <w:t xml:space="preserve">The Ruhr (Germany) — Industrial decline pair</w:t>
      </w:r>
    </w:p>
    <w:p>
      <w:pPr>
        <w:spacing w:after="160"/>
      </w:pPr>
      <w:r>
        <w:rPr>
          <w:i/>
          <w:iCs/>
        </w:rPr>
        <w:t xml:space="preserve">IR227 Seminar 1 — Group worksheet</w:t>
      </w:r>
    </w:p>
    <w:p>
      <w:pPr>
        <w:pStyle w:val="Heading3"/>
      </w:pPr>
      <w:r>
        <w:t xml:space="preserve">Task</w:t>
      </w:r>
    </w:p>
    <w:p>
      <w:pPr>
        <w:spacing w:after="160"/>
      </w:pPr>
      <w:r>
        <w:t xml:space="preserve">You are advising a regional development agency. Write a one-page diagnostic: is our region locked in, or near an opening, and what does that imply for action?</w:t>
      </w:r>
    </w:p>
    <w:p>
      <w:pPr>
        <w:spacing w:after="160"/>
      </w:pPr>
      <w:r>
        <w:t xml:space="preserve">The analytical tools you will deploy are: the four lock-in mechanisms (which is dominant? which is conspicuously absent?), the Capoccia–Kelemen test (is a juncture in view, and how would you defend the claim?), and the permissive–productive distinction (where, if anywhere, are external conditions opening a window for action?)</w:t>
      </w:r>
    </w:p>
    <w:p>
      <w:pPr>
        <w:pStyle w:val="Heading3"/>
      </w:pPr>
      <w:r>
        <w:t xml:space="preserve">Requirements</w:t>
      </w:r>
    </w:p>
    <w:p>
      <w:pPr>
        <w:pStyle w:val="ListParagraph"/>
        <w:numPr>
          <w:ilvl w:val="0"/>
          <w:numId w:val="2"/>
        </w:numPr>
        <w:spacing w:after="80"/>
      </w:pPr>
      <w:r>
        <w:t xml:space="preserve">name the dominant lock-in mechanism,</w:t>
      </w:r>
    </w:p>
    <w:p>
      <w:pPr>
        <w:pStyle w:val="ListParagraph"/>
        <w:numPr>
          <w:ilvl w:val="0"/>
          <w:numId w:val="2"/>
        </w:numPr>
        <w:spacing w:after="80"/>
      </w:pPr>
      <w:r>
        <w:t xml:space="preserve">classify the historical sequence as self-reinforcing or reactive,</w:t>
      </w:r>
    </w:p>
    <w:p>
      <w:pPr>
        <w:pStyle w:val="ListParagraph"/>
        <w:numPr>
          <w:ilvl w:val="0"/>
          <w:numId w:val="2"/>
        </w:numPr>
        <w:spacing w:after="80"/>
      </w:pPr>
      <w:r>
        <w:t xml:space="preserve">apply the Capoccia–Kelemen test to one or two candidate moments,</w:t>
      </w:r>
    </w:p>
    <w:p>
      <w:pPr>
        <w:pStyle w:val="ListParagraph"/>
        <w:numPr>
          <w:ilvl w:val="0"/>
          <w:numId w:val="2"/>
        </w:numPr>
        <w:spacing w:after="80"/>
      </w:pPr>
      <w:r>
        <w:t xml:space="preserve">use the permissive vs. productive distinction where appropriate, and</w:t>
      </w:r>
    </w:p>
    <w:p>
      <w:pPr>
        <w:pStyle w:val="ListParagraph"/>
        <w:numPr>
          <w:ilvl w:val="0"/>
          <w:numId w:val="2"/>
        </w:numPr>
        <w:spacing w:after="80"/>
      </w:pPr>
      <w:r>
        <w:t xml:space="preserve">close with a verdict (locked-in / near an opening / ambiguous) and an implication for action.</w:t>
      </w:r>
    </w:p>
    <w:p>
      <w:pPr>
        <w:spacing w:after="160"/>
      </w:pPr>
      <w:r>
        <w:rPr>
          <w:i/>
          <w:iCs/>
        </w:rPr>
        <w:t xml:space="preserve">Note: these cases are deliberately under-determined. There is no single correct verdict — you will be assessed on the strength of the reasoning chain (mechanism → sequence → juncture claim → conditions → verdict), not on which verdict you reach.</w:t>
      </w:r>
    </w:p>
    <w:p>
      <w:pPr>
        <w:pStyle w:val="Heading3"/>
      </w:pPr>
      <w:r>
        <w:t xml:space="preserve">Tool summary</w:t>
      </w:r>
    </w:p>
    <w:p>
      <w:pPr>
        <w:spacing w:after="120"/>
      </w:pPr>
      <w:r>
        <w:rPr>
          <w:b/>
          <w:bCs/>
        </w:rPr>
        <w:t xml:space="preserve">Four lock-in mechanisms (Pierson 2000). </w:t>
      </w:r>
      <w:r>
        <w:t xml:space="preserve">Ask which is dominant, and which is conspicuously missing.</w:t>
      </w:r>
    </w:p>
    <w:p>
      <w:pPr>
        <w:pStyle w:val="ListParagraph"/>
        <w:numPr>
          <w:ilvl w:val="0"/>
          <w:numId w:val="3"/>
        </w:numPr>
        <w:spacing w:after="80"/>
      </w:pPr>
      <w:r>
        <w:t xml:space="preserve">Set-up / fixed costs — large sunk investment makes switching paths expensive.</w:t>
      </w:r>
    </w:p>
    <w:p>
      <w:pPr>
        <w:pStyle w:val="ListParagraph"/>
        <w:numPr>
          <w:ilvl w:val="0"/>
          <w:numId w:val="3"/>
        </w:numPr>
        <w:spacing w:after="80"/>
      </w:pPr>
      <w:r>
        <w:t xml:space="preserve">Learning effects — skills and know-how accumulate with practice, favouring the incumbent path.</w:t>
      </w:r>
    </w:p>
    <w:p>
      <w:pPr>
        <w:pStyle w:val="ListParagraph"/>
        <w:numPr>
          <w:ilvl w:val="0"/>
          <w:numId w:val="3"/>
        </w:numPr>
        <w:spacing w:after="80"/>
      </w:pPr>
      <w:r>
        <w:t xml:space="preserve">Coordination effects — actors' choices are more valuable when others make the same choice (supply chains, institutions, expectations aligning around one path).</w:t>
      </w:r>
    </w:p>
    <w:p>
      <w:pPr>
        <w:pStyle w:val="ListParagraph"/>
        <w:numPr>
          <w:ilvl w:val="0"/>
          <w:numId w:val="3"/>
        </w:numPr>
        <w:spacing w:after="80"/>
      </w:pPr>
      <w:r>
        <w:t xml:space="preserve">Adaptive expectations — actors expect the path to continue and act accordingly, making the expectation self-fulfilling.</w:t>
      </w:r>
    </w:p>
    <w:p>
      <w:pPr>
        <w:spacing w:after="120"/>
      </w:pPr>
      <w:r>
        <w:rPr>
          <w:b/>
          <w:bCs/>
        </w:rPr>
        <w:t xml:space="preserve">Sequence. </w:t>
      </w:r>
      <w:r>
        <w:t xml:space="preserve">Self-reinforcing = each step increases the relative attractiveness of staying on the path (positive feedback). Reactive = subsequent steps are responses to disruption of the path, not extensions of it.</w:t>
      </w:r>
    </w:p>
    <w:p>
      <w:pPr>
        <w:spacing w:after="120"/>
      </w:pPr>
      <w:r>
        <w:rPr>
          <w:b/>
          <w:bCs/>
        </w:rPr>
        <w:t xml:space="preserve">Capoccia–Kelemen (2007) critical juncture test. </w:t>
      </w:r>
      <w:r>
        <w:t xml:space="preserve">A moment qualifies as a critical juncture only if (i) structural constraints loosen enough that actors face a real choice among plausible alternatives, and (ii) the choice made in that compressed window has effects that persist well beyond it. A crisis or shock is not automatically a juncture — you must show contingency (choice was genuinely open) and durability (the choice mattered for a long time after).</w:t>
      </w:r>
    </w:p>
    <w:p>
      <w:pPr>
        <w:spacing w:after="120"/>
      </w:pPr>
      <w:r>
        <w:rPr>
          <w:b/>
          <w:bCs/>
        </w:rPr>
        <w:t xml:space="preserve">Permissive vs. productive conditions. </w:t>
      </w:r>
      <w:r>
        <w:t xml:space="preserve">Permissive conditions loosen the structural constraint and open a window (a crisis, a court ruling, a policy shock). Productive conditions are what is actually built inside that window — sustained investment, institution-building, capacity — that redirects the path. A permissive window with no matched productive condition closes without changing the trajectory.</w:t>
      </w:r>
    </w:p>
    <w:p>
      <w:pPr>
        <w:pBdr>
          <w:bottom w:val="single" w:color="999999" w:sz="6" w:space="1"/>
        </w:pBdr>
        <w:spacing w:after="240" w:before="120"/>
      </w:pPr>
      <w:r>
        <w:t xml:space="preserve"/>
      </w:r>
    </w:p>
    <w:p>
      <w:pPr>
        <w:pStyle w:val="Heading3"/>
      </w:pPr>
      <w:r>
        <w:t xml:space="preserve">Case specifics (from the case pack)</w:t>
      </w:r>
    </w:p>
    <w:p>
      <w:pPr>
        <w:spacing w:after="160"/>
      </w:pPr>
      <w:r>
        <w:t xml:space="preserve">Heavy-industrial transition over half a century. Coal and steel dominated the regional economy through the 1960s; serious decline began with the 1970s coal crisis and accelerated through the 1980s. Federal and state (North Rhine-Westphalia) governments intervened sustainedly: structural-fund programmes, university expansion (the Ruhr now anchors four major universities — Bochum, Duisburg-Essen, TU Dortmund, Witten/Herdecke), infrastructure investment, support for new sectors (logistics, services, research, and the energy transition). Black-coal mining ended formally in December 2018 with the closure of Prosper-Haniel in Bottrop, the last operating mine.</w:t>
      </w:r>
    </w:p>
    <w:p>
      <w:pPr>
        <w:spacing w:after="160"/>
      </w:pPr>
      <w:r>
        <w:t xml:space="preserve">Post-2018, the regional development agenda has shifted toward German federal coal phase-out funding (the 2018 Commission on Growth, Structural Change and Employment), EU Just Transition Fund allocations (the EU instrument established by Regulation 2021/1056 and operational from 2021), and a hydrogen-economy corridor strategy (H2.Ruhr and related initiatives) that aims to re-purpose existing energy and chemical infrastructure for low-carbon production. The European Capital of Culture designation (Ruhr.2010, anchored on Essen) and the Internationale Bauausstellung Emscher Park (1989–1999) are earlier examples of cultural and ecological investments that have shaped the urban transition.</w:t>
      </w:r>
    </w:p>
    <w:p>
      <w:pPr>
        <w:spacing w:after="160"/>
      </w:pPr>
      <w:r>
        <w:t xml:space="preserve">Outcomes are uneven across the region's cities. Essen and Dortmund have reorganised around services, universities, and culture with relative success; Gelsenkirchen has not, recording among the highest sustained urban unemployment rates in Germany; Duisburg-North has likewise struggled. The region as a whole remains below national averages on productivity and household incomes, but is far from collapsed — the population has stabilised in the 2010s after decades of decline.</w:t>
      </w:r>
    </w:p>
    <w:p>
      <w:pPr>
        <w:spacing w:after="80" w:before="120"/>
      </w:pPr>
      <w:r>
        <w:rPr>
          <w:b/>
          <w:bCs/>
        </w:rPr>
        <w:t xml:space="preserve">Case: the agency's data</w:t>
      </w:r>
    </w:p>
    <w:p>
      <w:pPr>
        <w:pStyle w:val="ListParagraph"/>
        <w:numPr>
          <w:ilvl w:val="0"/>
          <w:numId w:val="3"/>
        </w:numPr>
        <w:spacing w:after="80"/>
      </w:pPr>
      <w:r>
        <w:t xml:space="preserve">Population: in the low five-millions in the Regionalverband Ruhr area; peaked in the 1960s, declined steadily, partial stabilisation in the 2010s.</w:t>
      </w:r>
    </w:p>
    <w:p>
      <w:pPr>
        <w:pStyle w:val="ListParagraph"/>
        <w:numPr>
          <w:ilvl w:val="0"/>
          <w:numId w:val="3"/>
        </w:numPr>
        <w:spacing w:after="80"/>
      </w:pPr>
      <w:r>
        <w:t xml:space="preserve">Industrial composition: coal and steel near-zero; manufacturing reduced; services, logistics, education, and energy-transition sectors grown.</w:t>
      </w:r>
    </w:p>
    <w:p>
      <w:pPr>
        <w:pStyle w:val="ListParagraph"/>
        <w:numPr>
          <w:ilvl w:val="0"/>
          <w:numId w:val="3"/>
        </w:numPr>
        <w:spacing w:after="80"/>
      </w:pPr>
      <w:r>
        <w:t xml:space="preserve">Federal and EU investment: large and sustained. EFRE 2021–2027 NRW programmes; German federal coal phase-out funding (2018 onward); EU Just Transition Fund allocations (2021 onward); hydrogen-corridor and energy-infrastructure programmes.</w:t>
      </w:r>
    </w:p>
    <w:p>
      <w:pPr>
        <w:pStyle w:val="ListParagraph"/>
        <w:numPr>
          <w:ilvl w:val="0"/>
          <w:numId w:val="3"/>
        </w:numPr>
        <w:spacing w:after="80"/>
      </w:pPr>
      <w:r>
        <w:t xml:space="preserve">Higher-education base: substantial. Bochum (Ruhr-Universität, founded 1962 as part of the original expansion plan), Duisburg-Essen (merged 2003), TU Dortmund, plus Witten/Herdecke and applied-sciences institutions.</w:t>
      </w:r>
    </w:p>
    <w:p>
      <w:pPr>
        <w:pStyle w:val="ListParagraph"/>
        <w:numPr>
          <w:ilvl w:val="0"/>
          <w:numId w:val="3"/>
        </w:numPr>
        <w:spacing w:after="80"/>
      </w:pPr>
      <w:r>
        <w:t xml:space="preserve">Intra-regional variation: significant. Essen has reorganised more successfully than Gelsenkirchen; Dortmund's tech and logistics restructuring is well-documented; Duisburg-North has lagged.</w:t>
      </w:r>
    </w:p>
    <w:p>
      <w:pPr>
        <w:pStyle w:val="ListParagraph"/>
        <w:numPr>
          <w:ilvl w:val="0"/>
          <w:numId w:val="3"/>
        </w:numPr>
        <w:spacing w:after="80"/>
      </w:pPr>
      <w:r>
        <w:t xml:space="preserve">Recent policy direction: post-2018 federal coal phase-out funding and (from 2021) EU Just Transition Fund; H2.Ruhr and related hydrogen-economy initiatives; ongoing EFRE structural-fund programmes.</w:t>
      </w:r>
    </w:p>
    <w:p>
      <w:pPr>
        <w:spacing w:after="80" w:before="160"/>
      </w:pPr>
      <w:r>
        <w:rPr>
          <w:b/>
          <w:bCs/>
        </w:rPr>
        <w:t xml:space="preserve">Discussion questions from the case pack</w:t>
      </w:r>
    </w:p>
    <w:p>
      <w:pPr>
        <w:pStyle w:val="ListParagraph"/>
        <w:numPr>
          <w:ilvl w:val="0"/>
          <w:numId w:val="3"/>
        </w:numPr>
        <w:spacing w:after="80"/>
      </w:pPr>
      <w:r>
        <w:t xml:space="preserve">What is the dominant lock-in mechanism? (Hint: think about which mechanisms eased over the half-century, and which remained.)</w:t>
      </w:r>
    </w:p>
    <w:p>
      <w:pPr>
        <w:pStyle w:val="ListParagraph"/>
        <w:numPr>
          <w:ilvl w:val="0"/>
          <w:numId w:val="3"/>
        </w:numPr>
        <w:spacing w:after="80"/>
      </w:pPr>
      <w:r>
        <w:t xml:space="preserve">Was the 1970s coal crisis a critical juncture in the Capoccia–Kelemen sense, or a permissive condition that was then matched (in some cities, not others) by productive conditions?</w:t>
      </w:r>
    </w:p>
    <w:p>
      <w:pPr>
        <w:pStyle w:val="ListParagraph"/>
        <w:numPr>
          <w:ilvl w:val="0"/>
          <w:numId w:val="3"/>
        </w:numPr>
        <w:spacing w:after="80"/>
      </w:pPr>
      <w:r>
        <w:t xml:space="preserve">Where would you locate the Ruhr today on the locked-in / near-an-opening / ambiguous spectrum — and how do you handle the intra-regional divergence in your verdict?</w:t>
      </w:r>
    </w:p>
    <w:p>
      <w:r>
        <w:br w:type="page"/>
      </w:r>
    </w:p>
    <w:p>
      <w:pPr>
        <w:pStyle w:val="Heading1"/>
      </w:pPr>
      <w:r>
        <w:t xml:space="preserve">Regional Transition Diagnostic — Worksheet</w:t>
      </w:r>
    </w:p>
    <w:p>
      <w:pPr>
        <w:pStyle w:val="Heading2"/>
      </w:pPr>
      <w:r>
        <w:t xml:space="preserve">North East England (United Kingdom) — Industrial decline pair</w:t>
      </w:r>
    </w:p>
    <w:p>
      <w:pPr>
        <w:spacing w:after="160"/>
      </w:pPr>
      <w:r>
        <w:rPr>
          <w:i/>
          <w:iCs/>
        </w:rPr>
        <w:t xml:space="preserve">IR227 Seminar 1 — Group worksheet</w:t>
      </w:r>
    </w:p>
    <w:p>
      <w:pPr>
        <w:pStyle w:val="Heading3"/>
      </w:pPr>
      <w:r>
        <w:t xml:space="preserve">Task</w:t>
      </w:r>
    </w:p>
    <w:p>
      <w:pPr>
        <w:spacing w:after="160"/>
      </w:pPr>
      <w:r>
        <w:t xml:space="preserve">You are advising a regional development agency. Write a one-page diagnostic: is our region locked in, or near an opening, and what does that imply for action?</w:t>
      </w:r>
    </w:p>
    <w:p>
      <w:pPr>
        <w:spacing w:after="160"/>
      </w:pPr>
      <w:r>
        <w:t xml:space="preserve">The analytical tools you will deploy are: the four lock-in mechanisms (which is dominant? which is conspicuously absent?), the Capoccia–Kelemen test (is a juncture in view, and how would you defend the claim?), and the permissive–productive distinction (where, if anywhere, are external conditions opening a window for action?)</w:t>
      </w:r>
    </w:p>
    <w:p>
      <w:pPr>
        <w:pStyle w:val="Heading3"/>
      </w:pPr>
      <w:r>
        <w:t xml:space="preserve">Requirements</w:t>
      </w:r>
    </w:p>
    <w:p>
      <w:pPr>
        <w:pStyle w:val="ListParagraph"/>
        <w:numPr>
          <w:ilvl w:val="0"/>
          <w:numId w:val="4"/>
        </w:numPr>
        <w:spacing w:after="80"/>
      </w:pPr>
      <w:r>
        <w:t xml:space="preserve">name the dominant lock-in mechanism,</w:t>
      </w:r>
    </w:p>
    <w:p>
      <w:pPr>
        <w:pStyle w:val="ListParagraph"/>
        <w:numPr>
          <w:ilvl w:val="0"/>
          <w:numId w:val="4"/>
        </w:numPr>
        <w:spacing w:after="80"/>
      </w:pPr>
      <w:r>
        <w:t xml:space="preserve">classify the historical sequence as self-reinforcing or reactive,</w:t>
      </w:r>
    </w:p>
    <w:p>
      <w:pPr>
        <w:pStyle w:val="ListParagraph"/>
        <w:numPr>
          <w:ilvl w:val="0"/>
          <w:numId w:val="4"/>
        </w:numPr>
        <w:spacing w:after="80"/>
      </w:pPr>
      <w:r>
        <w:t xml:space="preserve">apply the Capoccia–Kelemen test to one or two candidate moments,</w:t>
      </w:r>
    </w:p>
    <w:p>
      <w:pPr>
        <w:pStyle w:val="ListParagraph"/>
        <w:numPr>
          <w:ilvl w:val="0"/>
          <w:numId w:val="4"/>
        </w:numPr>
        <w:spacing w:after="80"/>
      </w:pPr>
      <w:r>
        <w:t xml:space="preserve">use the permissive vs. productive distinction where appropriate, and</w:t>
      </w:r>
    </w:p>
    <w:p>
      <w:pPr>
        <w:pStyle w:val="ListParagraph"/>
        <w:numPr>
          <w:ilvl w:val="0"/>
          <w:numId w:val="4"/>
        </w:numPr>
        <w:spacing w:after="80"/>
      </w:pPr>
      <w:r>
        <w:t xml:space="preserve">close with a verdict (locked-in / near an opening / ambiguous) and an implication for action.</w:t>
      </w:r>
    </w:p>
    <w:p>
      <w:pPr>
        <w:spacing w:after="160"/>
      </w:pPr>
      <w:r>
        <w:rPr>
          <w:i/>
          <w:iCs/>
        </w:rPr>
        <w:t xml:space="preserve">Note: these cases are deliberately under-determined. There is no single correct verdict — you will be assessed on the strength of the reasoning chain (mechanism → sequence → juncture claim → conditions → verdict), not on which verdict you reach.</w:t>
      </w:r>
    </w:p>
    <w:p>
      <w:pPr>
        <w:pStyle w:val="Heading3"/>
      </w:pPr>
      <w:r>
        <w:t xml:space="preserve">Tool summary</w:t>
      </w:r>
    </w:p>
    <w:p>
      <w:pPr>
        <w:spacing w:after="120"/>
      </w:pPr>
      <w:r>
        <w:rPr>
          <w:b/>
          <w:bCs/>
        </w:rPr>
        <w:t xml:space="preserve">Four lock-in mechanisms (Pierson 2000). </w:t>
      </w:r>
      <w:r>
        <w:t xml:space="preserve">Ask which is dominant, and which is conspicuously missing.</w:t>
      </w:r>
    </w:p>
    <w:p>
      <w:pPr>
        <w:pStyle w:val="ListParagraph"/>
        <w:numPr>
          <w:ilvl w:val="0"/>
          <w:numId w:val="3"/>
        </w:numPr>
        <w:spacing w:after="80"/>
      </w:pPr>
      <w:r>
        <w:t xml:space="preserve">Set-up / fixed costs — large sunk investment makes switching paths expensive.</w:t>
      </w:r>
    </w:p>
    <w:p>
      <w:pPr>
        <w:pStyle w:val="ListParagraph"/>
        <w:numPr>
          <w:ilvl w:val="0"/>
          <w:numId w:val="3"/>
        </w:numPr>
        <w:spacing w:after="80"/>
      </w:pPr>
      <w:r>
        <w:t xml:space="preserve">Learning effects — skills and know-how accumulate with practice, favouring the incumbent path.</w:t>
      </w:r>
    </w:p>
    <w:p>
      <w:pPr>
        <w:pStyle w:val="ListParagraph"/>
        <w:numPr>
          <w:ilvl w:val="0"/>
          <w:numId w:val="3"/>
        </w:numPr>
        <w:spacing w:after="80"/>
      </w:pPr>
      <w:r>
        <w:t xml:space="preserve">Coordination effects — actors' choices are more valuable when others make the same choice (supply chains, institutions, expectations aligning around one path).</w:t>
      </w:r>
    </w:p>
    <w:p>
      <w:pPr>
        <w:pStyle w:val="ListParagraph"/>
        <w:numPr>
          <w:ilvl w:val="0"/>
          <w:numId w:val="3"/>
        </w:numPr>
        <w:spacing w:after="80"/>
      </w:pPr>
      <w:r>
        <w:t xml:space="preserve">Adaptive expectations — actors expect the path to continue and act accordingly, making the expectation self-fulfilling.</w:t>
      </w:r>
    </w:p>
    <w:p>
      <w:pPr>
        <w:spacing w:after="120"/>
      </w:pPr>
      <w:r>
        <w:rPr>
          <w:b/>
          <w:bCs/>
        </w:rPr>
        <w:t xml:space="preserve">Sequence. </w:t>
      </w:r>
      <w:r>
        <w:t xml:space="preserve">Self-reinforcing = each step increases the relative attractiveness of staying on the path (positive feedback). Reactive = subsequent steps are responses to disruption of the path, not extensions of it.</w:t>
      </w:r>
    </w:p>
    <w:p>
      <w:pPr>
        <w:spacing w:after="120"/>
      </w:pPr>
      <w:r>
        <w:rPr>
          <w:b/>
          <w:bCs/>
        </w:rPr>
        <w:t xml:space="preserve">Capoccia–Kelemen (2007) critical juncture test. </w:t>
      </w:r>
      <w:r>
        <w:t xml:space="preserve">A moment qualifies as a critical juncture only if (i) structural constraints loosen enough that actors face a real choice among plausible alternatives, and (ii) the choice made in that compressed window has effects that persist well beyond it. A crisis or shock is not automatically a juncture — you must show contingency (choice was genuinely open) and durability (the choice mattered for a long time after).</w:t>
      </w:r>
    </w:p>
    <w:p>
      <w:pPr>
        <w:spacing w:after="120"/>
      </w:pPr>
      <w:r>
        <w:rPr>
          <w:b/>
          <w:bCs/>
        </w:rPr>
        <w:t xml:space="preserve">Permissive vs. productive conditions. </w:t>
      </w:r>
      <w:r>
        <w:t xml:space="preserve">Permissive conditions loosen the structural constraint and open a window (a crisis, a court ruling, a policy shock). Productive conditions are what is actually built inside that window — sustained investment, institution-building, capacity — that redirects the path. A permissive window with no matched productive condition closes without changing the trajectory.</w:t>
      </w:r>
    </w:p>
    <w:p>
      <w:pPr>
        <w:pBdr>
          <w:bottom w:val="single" w:color="999999" w:sz="6" w:space="1"/>
        </w:pBdr>
        <w:spacing w:after="240" w:before="120"/>
      </w:pPr>
      <w:r>
        <w:t xml:space="preserve"/>
      </w:r>
    </w:p>
    <w:p>
      <w:pPr>
        <w:pStyle w:val="Heading3"/>
      </w:pPr>
      <w:r>
        <w:t xml:space="preserve">Case specifics (from the case pack)</w:t>
      </w:r>
    </w:p>
    <w:p>
      <w:pPr>
        <w:spacing w:after="160"/>
      </w:pPr>
      <w:r>
        <w:t xml:space="preserve">Heavy-industrial transition that did not follow the Ruhr's path. Coal, shipbuilding, and steel collapsed sharply in the 1970s and 1980s; subsequent regional development efforts have produced limited convergence with the wider UK economy. The sequence is well-documented: regional development agencies (1999 onwards, abolished in 2010 by the Cameron coalition), enterprise zones (1980s and revived in the 2010s), EU structural funds before Brexit, post-Brexit “levelling-up” funding (the 2021 White Paper and its instruments), and the post-2024 mayoral devolution settlement under the North East Combined Authority. The region voted 58 per cent in favour of Leave in the 2016 referendum and has remained politically distinctive.</w:t>
      </w:r>
    </w:p>
    <w:p>
      <w:pPr>
        <w:spacing w:after="160"/>
      </w:pPr>
      <w:r>
        <w:t xml:space="preserve">The post-2024 devolution settlement (Mayor of the North East, elected May 2024) is the most recent candidate window. Whether it materialises into sustained productive conditions — skills investment, transport infrastructure, industrial-policy financing at scale — is the live question. Nissan Sunderland (automotive, opened 1986 in part as a post-decline industrial investment) remains the region's single most significant private-sector employer and is itself navigating the EV transition.</w:t>
      </w:r>
    </w:p>
    <w:p>
      <w:pPr>
        <w:spacing w:after="160"/>
      </w:pPr>
      <w:r>
        <w:t xml:space="preserve">The contrast with the Ruhr is the analytical puzzle: similar starting conditions, divergent trajectories. Diagnostics here typically focus on the absence of sustained productive conditions — federal/state capacity comparable to the German Bundesländer, comparable scale of investment, an integrated higher-education and research base built up over decades, an industrial-policy infrastructure capable of redirecting capital. The UK regional-policy architecture has been repeatedly restructured, which is itself a constraint on productive-condition durability.</w:t>
      </w:r>
    </w:p>
    <w:p>
      <w:pPr>
        <w:spacing w:after="80" w:before="120"/>
      </w:pPr>
      <w:r>
        <w:rPr>
          <w:b/>
          <w:bCs/>
        </w:rPr>
        <w:t xml:space="preserve">Case: the agency's data</w:t>
      </w:r>
    </w:p>
    <w:p>
      <w:pPr>
        <w:pStyle w:val="ListParagraph"/>
        <w:numPr>
          <w:ilvl w:val="0"/>
          <w:numId w:val="3"/>
        </w:numPr>
        <w:spacing w:after="80"/>
      </w:pPr>
      <w:r>
        <w:t xml:space="preserve">Population: in the mid-2.6m to 2.7m range across recent ONS estimates; slow growth at the regional level masking significant out-migration of younger and skilled workers from sub-regions.</w:t>
      </w:r>
    </w:p>
    <w:p>
      <w:pPr>
        <w:pStyle w:val="ListParagraph"/>
        <w:numPr>
          <w:ilvl w:val="0"/>
          <w:numId w:val="3"/>
        </w:numPr>
        <w:spacing w:after="80"/>
      </w:pPr>
      <w:r>
        <w:t xml:space="preserve">Productivity gap with the UK average: substantial and persistent; GVA per head historically well below the UK mean.</w:t>
      </w:r>
    </w:p>
    <w:p>
      <w:pPr>
        <w:pStyle w:val="ListParagraph"/>
        <w:numPr>
          <w:ilvl w:val="0"/>
          <w:numId w:val="3"/>
        </w:numPr>
        <w:spacing w:after="80"/>
      </w:pPr>
      <w:r>
        <w:t xml:space="preserve">Investment: a sequence of regional-development initiatives (RDAs, enterprise zones, EU structural funds pre-2020, levelling-up funds, devolution settlement) — none sustained at the scale of the Ruhr's federal and EU support.</w:t>
      </w:r>
    </w:p>
    <w:p>
      <w:pPr>
        <w:pStyle w:val="ListParagraph"/>
        <w:numPr>
          <w:ilvl w:val="0"/>
          <w:numId w:val="3"/>
        </w:numPr>
        <w:spacing w:after="80"/>
      </w:pPr>
      <w:r>
        <w:t xml:space="preserve">Anchor employer: Nissan Sunderland (automotive, since 1986); itself navigating the EV transition. Other anchors: pharmaceutical (Teesside chemical complex), services.</w:t>
      </w:r>
    </w:p>
    <w:p>
      <w:pPr>
        <w:pStyle w:val="ListParagraph"/>
        <w:numPr>
          <w:ilvl w:val="0"/>
          <w:numId w:val="3"/>
        </w:numPr>
        <w:spacing w:after="80"/>
      </w:pPr>
      <w:r>
        <w:t xml:space="preserve">Political signal: the 2016 Brexit vote (58 per cent Leave) and subsequent “levelling-up” rhetoric mark unusual political attention. Post-2024 Labour government has recalibrated the framing.</w:t>
      </w:r>
    </w:p>
    <w:p>
      <w:pPr>
        <w:pStyle w:val="ListParagraph"/>
        <w:numPr>
          <w:ilvl w:val="0"/>
          <w:numId w:val="3"/>
        </w:numPr>
        <w:spacing w:after="80"/>
      </w:pPr>
      <w:r>
        <w:t xml:space="preserve">Devolution: North East Combined Authority and Mayor elected May 2024 (Kim McGuinness); new institutional architecture, productive payoff uncertain.</w:t>
      </w:r>
    </w:p>
    <w:p>
      <w:pPr>
        <w:spacing w:after="80" w:before="160"/>
      </w:pPr>
      <w:r>
        <w:rPr>
          <w:b/>
          <w:bCs/>
        </w:rPr>
        <w:t xml:space="preserve">Discussion questions from the case pack</w:t>
      </w:r>
    </w:p>
    <w:p>
      <w:pPr>
        <w:pStyle w:val="ListParagraph"/>
        <w:numPr>
          <w:ilvl w:val="0"/>
          <w:numId w:val="3"/>
        </w:numPr>
        <w:spacing w:after="80"/>
      </w:pPr>
      <w:r>
        <w:t xml:space="preserve">Is the historical sequence here self-reinforcing or reactive?</w:t>
      </w:r>
    </w:p>
    <w:p>
      <w:pPr>
        <w:pStyle w:val="ListParagraph"/>
        <w:numPr>
          <w:ilvl w:val="0"/>
          <w:numId w:val="3"/>
        </w:numPr>
        <w:spacing w:after="80"/>
      </w:pPr>
      <w:r>
        <w:t xml:space="preserve">What permissive conditions have arisen, and have they been matched by productive conditions?</w:t>
      </w:r>
    </w:p>
    <w:p>
      <w:pPr>
        <w:pStyle w:val="ListParagraph"/>
        <w:numPr>
          <w:ilvl w:val="0"/>
          <w:numId w:val="3"/>
        </w:numPr>
        <w:spacing w:after="80"/>
      </w:pPr>
      <w:r>
        <w:t xml:space="preserve">Is the post-2024 devolution settlement a candidate critical juncture, and how would you defend (or refuse) the claim?</w:t>
      </w:r>
    </w:p>
    <w:p>
      <w:pPr>
        <w:pStyle w:val="ListParagraph"/>
        <w:numPr>
          <w:ilvl w:val="0"/>
          <w:numId w:val="3"/>
        </w:numPr>
        <w:spacing w:after="80"/>
      </w:pPr>
      <w:r>
        <w:t xml:space="preserve">How does your diagnosis differ from the Ruhr's, and which layer of the analysis (mechanism, sequence, juncture, conditions) is doing the explanatory work?</w:t>
      </w:r>
    </w:p>
    <w:p>
      <w:r>
        <w:br w:type="page"/>
      </w:r>
    </w:p>
    <w:p>
      <w:pPr>
        <w:pStyle w:val="Heading1"/>
      </w:pPr>
      <w:r>
        <w:t xml:space="preserve">Regional Transition Diagnostic — Worksheet</w:t>
      </w:r>
    </w:p>
    <w:p>
      <w:pPr>
        <w:pStyle w:val="Heading2"/>
      </w:pPr>
      <w:r>
        <w:t xml:space="preserve">Hokkaido (Japan) — Rural depopulation and ageing pair</w:t>
      </w:r>
    </w:p>
    <w:p>
      <w:pPr>
        <w:spacing w:after="160"/>
      </w:pPr>
      <w:r>
        <w:rPr>
          <w:i/>
          <w:iCs/>
        </w:rPr>
        <w:t xml:space="preserve">IR227 Seminar 1 — Group worksheet</w:t>
      </w:r>
    </w:p>
    <w:p>
      <w:pPr>
        <w:pStyle w:val="Heading3"/>
      </w:pPr>
      <w:r>
        <w:t xml:space="preserve">Task</w:t>
      </w:r>
    </w:p>
    <w:p>
      <w:pPr>
        <w:spacing w:after="160"/>
      </w:pPr>
      <w:r>
        <w:t xml:space="preserve">You are advising a regional development agency. Write a one-page diagnostic: is our region locked in, or near an opening, and what does that imply for action?</w:t>
      </w:r>
    </w:p>
    <w:p>
      <w:pPr>
        <w:spacing w:after="160"/>
      </w:pPr>
      <w:r>
        <w:t xml:space="preserve">The analytical tools you will deploy are: the four lock-in mechanisms (which is dominant? which is conspicuously absent?), the Capoccia–Kelemen test (is a juncture in view, and how would you defend the claim?), and the permissive–productive distinction (where, if anywhere, are external conditions opening a window for action?)</w:t>
      </w:r>
    </w:p>
    <w:p>
      <w:pPr>
        <w:pStyle w:val="Heading3"/>
      </w:pPr>
      <w:r>
        <w:t xml:space="preserve">Requirements</w:t>
      </w:r>
    </w:p>
    <w:p>
      <w:pPr>
        <w:pStyle w:val="ListParagraph"/>
        <w:numPr>
          <w:ilvl w:val="0"/>
          <w:numId w:val="5"/>
        </w:numPr>
        <w:spacing w:after="80"/>
      </w:pPr>
      <w:r>
        <w:t xml:space="preserve">name the dominant lock-in mechanism,</w:t>
      </w:r>
    </w:p>
    <w:p>
      <w:pPr>
        <w:pStyle w:val="ListParagraph"/>
        <w:numPr>
          <w:ilvl w:val="0"/>
          <w:numId w:val="5"/>
        </w:numPr>
        <w:spacing w:after="80"/>
      </w:pPr>
      <w:r>
        <w:t xml:space="preserve">classify the historical sequence as self-reinforcing or reactive,</w:t>
      </w:r>
    </w:p>
    <w:p>
      <w:pPr>
        <w:pStyle w:val="ListParagraph"/>
        <w:numPr>
          <w:ilvl w:val="0"/>
          <w:numId w:val="5"/>
        </w:numPr>
        <w:spacing w:after="80"/>
      </w:pPr>
      <w:r>
        <w:t xml:space="preserve">apply the Capoccia–Kelemen test to one or two candidate moments,</w:t>
      </w:r>
    </w:p>
    <w:p>
      <w:pPr>
        <w:pStyle w:val="ListParagraph"/>
        <w:numPr>
          <w:ilvl w:val="0"/>
          <w:numId w:val="5"/>
        </w:numPr>
        <w:spacing w:after="80"/>
      </w:pPr>
      <w:r>
        <w:t xml:space="preserve">use the permissive vs. productive distinction where appropriate, and</w:t>
      </w:r>
    </w:p>
    <w:p>
      <w:pPr>
        <w:pStyle w:val="ListParagraph"/>
        <w:numPr>
          <w:ilvl w:val="0"/>
          <w:numId w:val="5"/>
        </w:numPr>
        <w:spacing w:after="80"/>
      </w:pPr>
      <w:r>
        <w:t xml:space="preserve">close with a verdict (locked-in / near an opening / ambiguous) and an implication for action.</w:t>
      </w:r>
    </w:p>
    <w:p>
      <w:pPr>
        <w:spacing w:after="160"/>
      </w:pPr>
      <w:r>
        <w:rPr>
          <w:i/>
          <w:iCs/>
        </w:rPr>
        <w:t xml:space="preserve">Note: these cases are deliberately under-determined. There is no single correct verdict — you will be assessed on the strength of the reasoning chain (mechanism → sequence → juncture claim → conditions → verdict), not on which verdict you reach.</w:t>
      </w:r>
    </w:p>
    <w:p>
      <w:pPr>
        <w:pStyle w:val="Heading3"/>
      </w:pPr>
      <w:r>
        <w:t xml:space="preserve">Tool summary</w:t>
      </w:r>
    </w:p>
    <w:p>
      <w:pPr>
        <w:spacing w:after="120"/>
      </w:pPr>
      <w:r>
        <w:rPr>
          <w:b/>
          <w:bCs/>
        </w:rPr>
        <w:t xml:space="preserve">Four lock-in mechanisms (Pierson 2000). </w:t>
      </w:r>
      <w:r>
        <w:t xml:space="preserve">Ask which is dominant, and which is conspicuously missing.</w:t>
      </w:r>
    </w:p>
    <w:p>
      <w:pPr>
        <w:pStyle w:val="ListParagraph"/>
        <w:numPr>
          <w:ilvl w:val="0"/>
          <w:numId w:val="3"/>
        </w:numPr>
        <w:spacing w:after="80"/>
      </w:pPr>
      <w:r>
        <w:t xml:space="preserve">Set-up / fixed costs — large sunk investment makes switching paths expensive.</w:t>
      </w:r>
    </w:p>
    <w:p>
      <w:pPr>
        <w:pStyle w:val="ListParagraph"/>
        <w:numPr>
          <w:ilvl w:val="0"/>
          <w:numId w:val="3"/>
        </w:numPr>
        <w:spacing w:after="80"/>
      </w:pPr>
      <w:r>
        <w:t xml:space="preserve">Learning effects — skills and know-how accumulate with practice, favouring the incumbent path.</w:t>
      </w:r>
    </w:p>
    <w:p>
      <w:pPr>
        <w:pStyle w:val="ListParagraph"/>
        <w:numPr>
          <w:ilvl w:val="0"/>
          <w:numId w:val="3"/>
        </w:numPr>
        <w:spacing w:after="80"/>
      </w:pPr>
      <w:r>
        <w:t xml:space="preserve">Coordination effects — actors' choices are more valuable when others make the same choice (supply chains, institutions, expectations aligning around one path).</w:t>
      </w:r>
    </w:p>
    <w:p>
      <w:pPr>
        <w:pStyle w:val="ListParagraph"/>
        <w:numPr>
          <w:ilvl w:val="0"/>
          <w:numId w:val="3"/>
        </w:numPr>
        <w:spacing w:after="80"/>
      </w:pPr>
      <w:r>
        <w:t xml:space="preserve">Adaptive expectations — actors expect the path to continue and act accordingly, making the expectation self-fulfilling.</w:t>
      </w:r>
    </w:p>
    <w:p>
      <w:pPr>
        <w:spacing w:after="120"/>
      </w:pPr>
      <w:r>
        <w:rPr>
          <w:b/>
          <w:bCs/>
        </w:rPr>
        <w:t xml:space="preserve">Sequence. </w:t>
      </w:r>
      <w:r>
        <w:t xml:space="preserve">Self-reinforcing = each step increases the relative attractiveness of staying on the path (positive feedback). Reactive = subsequent steps are responses to disruption of the path, not extensions of it.</w:t>
      </w:r>
    </w:p>
    <w:p>
      <w:pPr>
        <w:spacing w:after="120"/>
      </w:pPr>
      <w:r>
        <w:rPr>
          <w:b/>
          <w:bCs/>
        </w:rPr>
        <w:t xml:space="preserve">Capoccia–Kelemen (2007) critical juncture test. </w:t>
      </w:r>
      <w:r>
        <w:t xml:space="preserve">A moment qualifies as a critical juncture only if (i) structural constraints loosen enough that actors face a real choice among plausible alternatives, and (ii) the choice made in that compressed window has effects that persist well beyond it. A crisis or shock is not automatically a juncture — you must show contingency (choice was genuinely open) and durability (the choice mattered for a long time after).</w:t>
      </w:r>
    </w:p>
    <w:p>
      <w:pPr>
        <w:spacing w:after="120"/>
      </w:pPr>
      <w:r>
        <w:rPr>
          <w:b/>
          <w:bCs/>
        </w:rPr>
        <w:t xml:space="preserve">Permissive vs. productive conditions. </w:t>
      </w:r>
      <w:r>
        <w:t xml:space="preserve">Permissive conditions loosen the structural constraint and open a window (a crisis, a court ruling, a policy shock). Productive conditions are what is actually built inside that window — sustained investment, institution-building, capacity — that redirects the path. A permissive window with no matched productive condition closes without changing the trajectory.</w:t>
      </w:r>
    </w:p>
    <w:p>
      <w:pPr>
        <w:pBdr>
          <w:bottom w:val="single" w:color="999999" w:sz="6" w:space="1"/>
        </w:pBdr>
        <w:spacing w:after="240" w:before="120"/>
      </w:pPr>
      <w:r>
        <w:t xml:space="preserve"/>
      </w:r>
    </w:p>
    <w:p>
      <w:pPr>
        <w:pStyle w:val="Heading3"/>
      </w:pPr>
      <w:r>
        <w:t xml:space="preserve">Case specifics (from the case pack)</w:t>
      </w:r>
    </w:p>
    <w:p>
      <w:pPr>
        <w:spacing w:after="160"/>
      </w:pPr>
      <w:r>
        <w:t xml:space="preserve">Japan's northernmost main island, with a substantial agricultural and primary-industry base, lower population density than the Japanese mean, and an unusually pronounced ageing demographic. Population has been declining for decades through the combination of low birth rates and out-migration of younger residents to Honshu; the regional total peaked in the mid-1990s and has fallen substantially since, with rural districts contracting fastest. Sapporo continues to absorb a disproportionate share of internal migration while the rest of the island ages and shrinks.</w:t>
      </w:r>
    </w:p>
    <w:p>
      <w:pPr>
        <w:spacing w:after="160"/>
      </w:pPr>
      <w:r>
        <w:t xml:space="preserve">Long-term care insurance (introduced nationally in 2000) and rural-revitalisation policies have been deployed at varying intensities since the 1990s. Japan's national share aged 65+ is among the highest in the world; Hokkaido's share exceeds the national average. The 2011 Fukushima disaster prompted some reorganisation of Japan's rural-energy and food-supply policies that affected Hokkaido (notably renewed attention to domestic food sovereignty given the disruption to northeast Honshu agriculture). More recently, automation and robotics in elder-care and agricultural production — driverless tractors, harvesting robots, care-assistance technologies — have begun to alter the labour structure, with ambiguous distributional consequences.</w:t>
      </w:r>
    </w:p>
    <w:p>
      <w:pPr>
        <w:spacing w:after="160"/>
      </w:pPr>
      <w:r>
        <w:t xml:space="preserve">Hokkaido is one of Japan's most agriculturally productive prefectures, accounting for a substantial share of national agricultural output and anchoring rural livelihoods that the demographic transition is reshaping rather than displacing. Tourism (domestic and, since the 2022 international recovery, foreign) is a growing contribution but does not substitute for the contraction of primary-industry employment in rural districts.</w:t>
      </w:r>
    </w:p>
    <w:p>
      <w:pPr>
        <w:spacing w:after="80" w:before="120"/>
      </w:pPr>
      <w:r>
        <w:rPr>
          <w:b/>
          <w:bCs/>
        </w:rPr>
        <w:t xml:space="preserve">Case: the agency's data</w:t>
      </w:r>
    </w:p>
    <w:p>
      <w:pPr>
        <w:pStyle w:val="ListParagraph"/>
        <w:numPr>
          <w:ilvl w:val="0"/>
          <w:numId w:val="3"/>
        </w:numPr>
        <w:spacing w:after="80"/>
      </w:pPr>
      <w:r>
        <w:t xml:space="preserve">Population pyramid: heavily skewed toward older cohorts; share of population aged 65+ above the Japanese national average; rural districts ageing faster than Sapporo.</w:t>
      </w:r>
    </w:p>
    <w:p>
      <w:pPr>
        <w:pStyle w:val="ListParagraph"/>
        <w:numPr>
          <w:ilvl w:val="0"/>
          <w:numId w:val="3"/>
        </w:numPr>
        <w:spacing w:after="80"/>
      </w:pPr>
      <w:r>
        <w:t xml:space="preserve">Population trajectory: peaked in the mid-1990s and has declined substantially since; continuing decline at roughly tens of thousands per year.</w:t>
      </w:r>
    </w:p>
    <w:p>
      <w:pPr>
        <w:pStyle w:val="ListParagraph"/>
        <w:numPr>
          <w:ilvl w:val="0"/>
          <w:numId w:val="3"/>
        </w:numPr>
        <w:spacing w:after="80"/>
      </w:pPr>
      <w:r>
        <w:t xml:space="preserve">Agricultural and fisheries sectors: still significant; productivity-enhancing investment but a shrinking labour base.</w:t>
      </w:r>
    </w:p>
    <w:p>
      <w:pPr>
        <w:pStyle w:val="ListParagraph"/>
        <w:numPr>
          <w:ilvl w:val="0"/>
          <w:numId w:val="3"/>
        </w:numPr>
        <w:spacing w:after="80"/>
      </w:pPr>
      <w:r>
        <w:t xml:space="preserve">Tourism: a growing contribution, partly via international-visitor recovery in the 2020s; Sapporo and outdoor-recreation hubs absorb most of the visitor flow.</w:t>
      </w:r>
    </w:p>
    <w:p>
      <w:pPr>
        <w:pStyle w:val="ListParagraph"/>
        <w:numPr>
          <w:ilvl w:val="0"/>
          <w:numId w:val="3"/>
        </w:numPr>
        <w:spacing w:after="80"/>
      </w:pPr>
      <w:r>
        <w:t xml:space="preserve">Service-provision footprint: rural service withdrawal accelerating where population thresholds for hospitals, schools, and transport fall below viability.</w:t>
      </w:r>
    </w:p>
    <w:p>
      <w:pPr>
        <w:pStyle w:val="ListParagraph"/>
        <w:numPr>
          <w:ilvl w:val="0"/>
          <w:numId w:val="3"/>
        </w:numPr>
        <w:spacing w:after="80"/>
      </w:pPr>
      <w:r>
        <w:t xml:space="preserve">Recent policy direction: automation and robotics deployment in elder-care and agriculture; ongoing rural-revitalisation funding from national programmes.</w:t>
      </w:r>
    </w:p>
    <w:p>
      <w:pPr>
        <w:spacing w:after="80" w:before="160"/>
      </w:pPr>
      <w:r>
        <w:rPr>
          <w:b/>
          <w:bCs/>
        </w:rPr>
        <w:t xml:space="preserve">Discussion questions from the case pack</w:t>
      </w:r>
    </w:p>
    <w:p>
      <w:pPr>
        <w:pStyle w:val="ListParagraph"/>
        <w:numPr>
          <w:ilvl w:val="0"/>
          <w:numId w:val="3"/>
        </w:numPr>
        <w:spacing w:after="80"/>
      </w:pPr>
      <w:r>
        <w:t xml:space="preserve">Is ageing best treated as a context, or is it itself a lock-in mechanism? Which of the four lock-in mechanisms (Pierson 2000) does it most resemble?</w:t>
      </w:r>
    </w:p>
    <w:p>
      <w:pPr>
        <w:pStyle w:val="ListParagraph"/>
        <w:numPr>
          <w:ilvl w:val="0"/>
          <w:numId w:val="3"/>
        </w:numPr>
        <w:spacing w:after="80"/>
      </w:pPr>
      <w:r>
        <w:t xml:space="preserve">Do automation and robotics constitute a productive condition for a critical juncture, or do they deepen the lock-in by reducing the labour share without redirecting the underlying demographic trajectory?</w:t>
      </w:r>
    </w:p>
    <w:p>
      <w:pPr>
        <w:pStyle w:val="ListParagraph"/>
        <w:numPr>
          <w:ilvl w:val="0"/>
          <w:numId w:val="3"/>
        </w:numPr>
        <w:spacing w:after="80"/>
      </w:pPr>
      <w:r>
        <w:t xml:space="preserve">Is the historical sequence here self-reinforcing in the technical sense, or merely declining? (Mahoney 2000)</w:t>
      </w:r>
    </w:p>
    <w:p>
      <w:r>
        <w:br w:type="page"/>
      </w:r>
    </w:p>
    <w:p>
      <w:pPr>
        <w:pStyle w:val="Heading1"/>
      </w:pPr>
      <w:r>
        <w:t xml:space="preserve">Regional Transition Diagnostic — Worksheet</w:t>
      </w:r>
    </w:p>
    <w:p>
      <w:pPr>
        <w:pStyle w:val="Heading2"/>
      </w:pPr>
      <w:r>
        <w:t xml:space="preserve">Calabria (Italy) — Rural depopulation and ageing pair</w:t>
      </w:r>
    </w:p>
    <w:p>
      <w:pPr>
        <w:spacing w:after="160"/>
      </w:pPr>
      <w:r>
        <w:rPr>
          <w:i/>
          <w:iCs/>
        </w:rPr>
        <w:t xml:space="preserve">IR227 Seminar 1 — Group worksheet</w:t>
      </w:r>
    </w:p>
    <w:p>
      <w:pPr>
        <w:pStyle w:val="Heading3"/>
      </w:pPr>
      <w:r>
        <w:t xml:space="preserve">Task</w:t>
      </w:r>
    </w:p>
    <w:p>
      <w:pPr>
        <w:spacing w:after="160"/>
      </w:pPr>
      <w:r>
        <w:t xml:space="preserve">You are advising a regional development agency. Write a one-page diagnostic: is our region locked in, or near an opening, and what does that imply for action?</w:t>
      </w:r>
    </w:p>
    <w:p>
      <w:pPr>
        <w:spacing w:after="160"/>
      </w:pPr>
      <w:r>
        <w:t xml:space="preserve">The analytical tools you will deploy are: the four lock-in mechanisms (which is dominant? which is conspicuously absent?), the Capoccia–Kelemen test (is a juncture in view, and how would you defend the claim?), and the permissive–productive distinction (where, if anywhere, are external conditions opening a window for action?)</w:t>
      </w:r>
    </w:p>
    <w:p>
      <w:pPr>
        <w:pStyle w:val="Heading3"/>
      </w:pPr>
      <w:r>
        <w:t xml:space="preserve">Requirements</w:t>
      </w:r>
    </w:p>
    <w:p>
      <w:pPr>
        <w:pStyle w:val="ListParagraph"/>
        <w:numPr>
          <w:ilvl w:val="0"/>
          <w:numId w:val="6"/>
        </w:numPr>
        <w:spacing w:after="80"/>
      </w:pPr>
      <w:r>
        <w:t xml:space="preserve">name the dominant lock-in mechanism,</w:t>
      </w:r>
    </w:p>
    <w:p>
      <w:pPr>
        <w:pStyle w:val="ListParagraph"/>
        <w:numPr>
          <w:ilvl w:val="0"/>
          <w:numId w:val="6"/>
        </w:numPr>
        <w:spacing w:after="80"/>
      </w:pPr>
      <w:r>
        <w:t xml:space="preserve">classify the historical sequence as self-reinforcing or reactive,</w:t>
      </w:r>
    </w:p>
    <w:p>
      <w:pPr>
        <w:pStyle w:val="ListParagraph"/>
        <w:numPr>
          <w:ilvl w:val="0"/>
          <w:numId w:val="6"/>
        </w:numPr>
        <w:spacing w:after="80"/>
      </w:pPr>
      <w:r>
        <w:t xml:space="preserve">apply the Capoccia–Kelemen test to one or two candidate moments,</w:t>
      </w:r>
    </w:p>
    <w:p>
      <w:pPr>
        <w:pStyle w:val="ListParagraph"/>
        <w:numPr>
          <w:ilvl w:val="0"/>
          <w:numId w:val="6"/>
        </w:numPr>
        <w:spacing w:after="80"/>
      </w:pPr>
      <w:r>
        <w:t xml:space="preserve">use the permissive vs. productive distinction where appropriate, and</w:t>
      </w:r>
    </w:p>
    <w:p>
      <w:pPr>
        <w:pStyle w:val="ListParagraph"/>
        <w:numPr>
          <w:ilvl w:val="0"/>
          <w:numId w:val="6"/>
        </w:numPr>
        <w:spacing w:after="80"/>
      </w:pPr>
      <w:r>
        <w:t xml:space="preserve">close with a verdict (locked-in / near an opening / ambiguous) and an implication for action.</w:t>
      </w:r>
    </w:p>
    <w:p>
      <w:pPr>
        <w:spacing w:after="160"/>
      </w:pPr>
      <w:r>
        <w:rPr>
          <w:i/>
          <w:iCs/>
        </w:rPr>
        <w:t xml:space="preserve">Note: these cases are deliberately under-determined. There is no single correct verdict — you will be assessed on the strength of the reasoning chain (mechanism → sequence → juncture claim → conditions → verdict), not on which verdict you reach.</w:t>
      </w:r>
    </w:p>
    <w:p>
      <w:pPr>
        <w:pStyle w:val="Heading3"/>
      </w:pPr>
      <w:r>
        <w:t xml:space="preserve">Tool summary</w:t>
      </w:r>
    </w:p>
    <w:p>
      <w:pPr>
        <w:spacing w:after="120"/>
      </w:pPr>
      <w:r>
        <w:rPr>
          <w:b/>
          <w:bCs/>
        </w:rPr>
        <w:t xml:space="preserve">Four lock-in mechanisms (Pierson 2000). </w:t>
      </w:r>
      <w:r>
        <w:t xml:space="preserve">Ask which is dominant, and which is conspicuously missing.</w:t>
      </w:r>
    </w:p>
    <w:p>
      <w:pPr>
        <w:pStyle w:val="ListParagraph"/>
        <w:numPr>
          <w:ilvl w:val="0"/>
          <w:numId w:val="3"/>
        </w:numPr>
        <w:spacing w:after="80"/>
      </w:pPr>
      <w:r>
        <w:t xml:space="preserve">Set-up / fixed costs — large sunk investment makes switching paths expensive.</w:t>
      </w:r>
    </w:p>
    <w:p>
      <w:pPr>
        <w:pStyle w:val="ListParagraph"/>
        <w:numPr>
          <w:ilvl w:val="0"/>
          <w:numId w:val="3"/>
        </w:numPr>
        <w:spacing w:after="80"/>
      </w:pPr>
      <w:r>
        <w:t xml:space="preserve">Learning effects — skills and know-how accumulate with practice, favouring the incumbent path.</w:t>
      </w:r>
    </w:p>
    <w:p>
      <w:pPr>
        <w:pStyle w:val="ListParagraph"/>
        <w:numPr>
          <w:ilvl w:val="0"/>
          <w:numId w:val="3"/>
        </w:numPr>
        <w:spacing w:after="80"/>
      </w:pPr>
      <w:r>
        <w:t xml:space="preserve">Coordination effects — actors' choices are more valuable when others make the same choice (supply chains, institutions, expectations aligning around one path).</w:t>
      </w:r>
    </w:p>
    <w:p>
      <w:pPr>
        <w:pStyle w:val="ListParagraph"/>
        <w:numPr>
          <w:ilvl w:val="0"/>
          <w:numId w:val="3"/>
        </w:numPr>
        <w:spacing w:after="80"/>
      </w:pPr>
      <w:r>
        <w:t xml:space="preserve">Adaptive expectations — actors expect the path to continue and act accordingly, making the expectation self-fulfilling.</w:t>
      </w:r>
    </w:p>
    <w:p>
      <w:pPr>
        <w:spacing w:after="120"/>
      </w:pPr>
      <w:r>
        <w:rPr>
          <w:b/>
          <w:bCs/>
        </w:rPr>
        <w:t xml:space="preserve">Sequence. </w:t>
      </w:r>
      <w:r>
        <w:t xml:space="preserve">Self-reinforcing = each step increases the relative attractiveness of staying on the path (positive feedback). Reactive = subsequent steps are responses to disruption of the path, not extensions of it.</w:t>
      </w:r>
    </w:p>
    <w:p>
      <w:pPr>
        <w:spacing w:after="120"/>
      </w:pPr>
      <w:r>
        <w:rPr>
          <w:b/>
          <w:bCs/>
        </w:rPr>
        <w:t xml:space="preserve">Capoccia–Kelemen (2007) critical juncture test. </w:t>
      </w:r>
      <w:r>
        <w:t xml:space="preserve">A moment qualifies as a critical juncture only if (i) structural constraints loosen enough that actors face a real choice among plausible alternatives, and (ii) the choice made in that compressed window has effects that persist well beyond it. A crisis or shock is not automatically a juncture — you must show contingency (choice was genuinely open) and durability (the choice mattered for a long time after).</w:t>
      </w:r>
    </w:p>
    <w:p>
      <w:pPr>
        <w:spacing w:after="120"/>
      </w:pPr>
      <w:r>
        <w:rPr>
          <w:b/>
          <w:bCs/>
        </w:rPr>
        <w:t xml:space="preserve">Permissive vs. productive conditions. </w:t>
      </w:r>
      <w:r>
        <w:t xml:space="preserve">Permissive conditions loosen the structural constraint and open a window (a crisis, a court ruling, a policy shock). Productive conditions are what is actually built inside that window — sustained investment, institution-building, capacity — that redirects the path. A permissive window with no matched productive condition closes without changing the trajectory.</w:t>
      </w:r>
    </w:p>
    <w:p>
      <w:pPr>
        <w:pBdr>
          <w:bottom w:val="single" w:color="999999" w:sz="6" w:space="1"/>
        </w:pBdr>
        <w:spacing w:after="240" w:before="120"/>
      </w:pPr>
      <w:r>
        <w:t xml:space="preserve"/>
      </w:r>
    </w:p>
    <w:p>
      <w:pPr>
        <w:pStyle w:val="Heading3"/>
      </w:pPr>
      <w:r>
        <w:t xml:space="preserve">Case specifics (from the case pack)</w:t>
      </w:r>
    </w:p>
    <w:p>
      <w:pPr>
        <w:spacing w:after="160"/>
      </w:pPr>
      <w:r>
        <w:t xml:space="preserve">The southern tip of the Italian peninsula. Persistent under-development relative to northern Italy across at least seven decades, despite enormous fiscal transfers from Rome and from the EU's structural and cohesion funds. Out-migration to northern Italy and abroad has been sustained, particularly of younger and more-educated residents; institutional capacity for regional development is weak in comparative European terms; organised crime presence (the 'ndrangheta) has been a persistent constraint on investment and on rule-of-law conditions.</w:t>
      </w:r>
    </w:p>
    <w:p>
      <w:pPr>
        <w:spacing w:after="160"/>
      </w:pPr>
      <w:r>
        <w:t xml:space="preserve">Calabria's GDP per capita has run well below the EU average for years; the population is shrinking through both ageing and out-migration. The post-2009 sovereign-debt crisis tightened Italy's fiscal constraints and reshaped EU oversight of national regional spending. The post-pandemic Italian Recovery and Resilience Plan (PNRR, funded by EU NextGenerationEU instruments) is the largest single cohesion-funding episode in the region's history, with conditionalities that in principle target institutional capacity — though the historic Calabrian record on structural-fund absorption is among the weakest in the EU.</w:t>
      </w:r>
    </w:p>
    <w:p>
      <w:pPr>
        <w:spacing w:after="160"/>
      </w:pPr>
      <w:r>
        <w:t xml:space="preserve">A separate constraint operates through the 'ndrangheta, which has been documented as displacing legitimate economic activity, distorting public procurement, and acting as a parallel coordinating mechanism in some sub-regions. This is a coordination problem, but not the kind path-dependency theory typically describes: it is a hostile coordination, reinforcing the lock-in by capturing the rents from any productive-condition investment.</w:t>
      </w:r>
    </w:p>
    <w:p>
      <w:pPr>
        <w:spacing w:after="80" w:before="120"/>
      </w:pPr>
      <w:r>
        <w:rPr>
          <w:b/>
          <w:bCs/>
        </w:rPr>
        <w:t xml:space="preserve">Case: the agency's data</w:t>
      </w:r>
    </w:p>
    <w:p>
      <w:pPr>
        <w:pStyle w:val="ListParagraph"/>
        <w:numPr>
          <w:ilvl w:val="0"/>
          <w:numId w:val="3"/>
        </w:numPr>
        <w:spacing w:after="80"/>
      </w:pPr>
      <w:r>
        <w:t xml:space="preserve">Productivity gap with northern Italy: large and persistent across decades; GDP per capita well below the EU average.</w:t>
      </w:r>
    </w:p>
    <w:p>
      <w:pPr>
        <w:pStyle w:val="ListParagraph"/>
        <w:numPr>
          <w:ilvl w:val="0"/>
          <w:numId w:val="3"/>
        </w:numPr>
        <w:spacing w:after="80"/>
      </w:pPr>
      <w:r>
        <w:t xml:space="preserve">Population: declining; sustained out-migration, especially of younger and more-educated residents.</w:t>
      </w:r>
    </w:p>
    <w:p>
      <w:pPr>
        <w:pStyle w:val="ListParagraph"/>
        <w:numPr>
          <w:ilvl w:val="0"/>
          <w:numId w:val="3"/>
        </w:numPr>
        <w:spacing w:after="80"/>
      </w:pPr>
      <w:r>
        <w:t xml:space="preserve">Institutional capacity: weak in comparative European terms; structural-fund absorption rates historically low.</w:t>
      </w:r>
    </w:p>
    <w:p>
      <w:pPr>
        <w:pStyle w:val="ListParagraph"/>
        <w:numPr>
          <w:ilvl w:val="0"/>
          <w:numId w:val="3"/>
        </w:numPr>
        <w:spacing w:after="80"/>
      </w:pPr>
      <w:r>
        <w:t xml:space="preserve">EU and national fiscal flows: large in absolute terms; the post-pandemic NextGenerationEU programme (delivered through Italy's PNRR) is a substantial productive-condition candidate, with conditionalities targeting institutional reform.</w:t>
      </w:r>
    </w:p>
    <w:p>
      <w:pPr>
        <w:pStyle w:val="ListParagraph"/>
        <w:numPr>
          <w:ilvl w:val="0"/>
          <w:numId w:val="3"/>
        </w:numPr>
        <w:spacing w:after="80"/>
      </w:pPr>
      <w:r>
        <w:t xml:space="preserve">Organised crime presence ('ndrangheta): documented as a persistent constraint on legitimate investment and on rule-of-law conditions; affects procurement, infrastructure, and public-service delivery in some sub-regions.</w:t>
      </w:r>
    </w:p>
    <w:p>
      <w:pPr>
        <w:pStyle w:val="ListParagraph"/>
        <w:numPr>
          <w:ilvl w:val="0"/>
          <w:numId w:val="3"/>
        </w:numPr>
        <w:spacing w:after="80"/>
      </w:pPr>
      <w:r>
        <w:t xml:space="preserve">Recent policy direction: PNRR implementation through 2026; structural-fund programmes; EU-led conditionalities targeting institutional reform.</w:t>
      </w:r>
    </w:p>
    <w:p>
      <w:pPr>
        <w:spacing w:after="80" w:before="160"/>
      </w:pPr>
      <w:r>
        <w:rPr>
          <w:b/>
          <w:bCs/>
        </w:rPr>
        <w:t xml:space="preserve">Discussion questions from the case pack</w:t>
      </w:r>
    </w:p>
    <w:p>
      <w:pPr>
        <w:pStyle w:val="ListParagraph"/>
        <w:numPr>
          <w:ilvl w:val="0"/>
          <w:numId w:val="3"/>
        </w:numPr>
        <w:spacing w:after="80"/>
      </w:pPr>
      <w:r>
        <w:t xml:space="preserve">What is the dominant lock-in mechanism here, and how does it differ from Hokkaido's?</w:t>
      </w:r>
    </w:p>
    <w:p>
      <w:pPr>
        <w:pStyle w:val="ListParagraph"/>
        <w:numPr>
          <w:ilvl w:val="0"/>
          <w:numId w:val="3"/>
        </w:numPr>
        <w:spacing w:after="80"/>
      </w:pPr>
      <w:r>
        <w:t xml:space="preserve">Is institutional capacity itself a path-dependency object — “learning effects in reverse”?</w:t>
      </w:r>
    </w:p>
    <w:p>
      <w:pPr>
        <w:pStyle w:val="ListParagraph"/>
        <w:numPr>
          <w:ilvl w:val="0"/>
          <w:numId w:val="3"/>
        </w:numPr>
        <w:spacing w:after="80"/>
      </w:pPr>
      <w:r>
        <w:t xml:space="preserve">Is the post-pandemic EU programme a productive condition strong enough to redirect a self-reinforcing sequence, or is it the latest in a long line of permissive conditions without matched productive conditions?</w:t>
      </w:r>
    </w:p>
    <w:p>
      <w:pPr>
        <w:pStyle w:val="ListParagraph"/>
        <w:numPr>
          <w:ilvl w:val="0"/>
          <w:numId w:val="3"/>
        </w:numPr>
        <w:spacing w:after="80"/>
      </w:pPr>
      <w:r>
        <w:t xml:space="preserve">How does the 'ndrangheta dimension fit into the four-mechanism framework, or does it require an addition?</w:t>
      </w:r>
    </w:p>
    <w:p>
      <w:r>
        <w:br w:type="page"/>
      </w:r>
    </w:p>
    <w:p>
      <w:pPr>
        <w:pStyle w:val="Heading1"/>
      </w:pPr>
      <w:r>
        <w:t xml:space="preserve">Regional Transition Diagnostic — Worksheet</w:t>
      </w:r>
    </w:p>
    <w:p>
      <w:pPr>
        <w:pStyle w:val="Heading2"/>
      </w:pPr>
      <w:r>
        <w:t xml:space="preserve">Alberta (Canada) — Resource-dependent pair</w:t>
      </w:r>
    </w:p>
    <w:p>
      <w:pPr>
        <w:spacing w:after="160"/>
      </w:pPr>
      <w:r>
        <w:rPr>
          <w:i/>
          <w:iCs/>
        </w:rPr>
        <w:t xml:space="preserve">IR227 Seminar 1 — Group worksheet</w:t>
      </w:r>
    </w:p>
    <w:p>
      <w:pPr>
        <w:pStyle w:val="Heading3"/>
      </w:pPr>
      <w:r>
        <w:t xml:space="preserve">Task</w:t>
      </w:r>
    </w:p>
    <w:p>
      <w:pPr>
        <w:spacing w:after="160"/>
      </w:pPr>
      <w:r>
        <w:t xml:space="preserve">You are advising a regional development agency. Write a one-page diagnostic: is our region locked in, or near an opening, and what does that imply for action?</w:t>
      </w:r>
    </w:p>
    <w:p>
      <w:pPr>
        <w:spacing w:after="160"/>
      </w:pPr>
      <w:r>
        <w:t xml:space="preserve">The analytical tools you will deploy are: the four lock-in mechanisms (which is dominant? which is conspicuously absent?), the Capoccia–Kelemen test (is a juncture in view, and how would you defend the claim?), and the permissive–productive distinction (where, if anywhere, are external conditions opening a window for action?)</w:t>
      </w:r>
    </w:p>
    <w:p>
      <w:pPr>
        <w:pStyle w:val="Heading3"/>
      </w:pPr>
      <w:r>
        <w:t xml:space="preserve">Requirements</w:t>
      </w:r>
    </w:p>
    <w:p>
      <w:pPr>
        <w:pStyle w:val="ListParagraph"/>
        <w:numPr>
          <w:ilvl w:val="0"/>
          <w:numId w:val="7"/>
        </w:numPr>
        <w:spacing w:after="80"/>
      </w:pPr>
      <w:r>
        <w:t xml:space="preserve">name the dominant lock-in mechanism,</w:t>
      </w:r>
    </w:p>
    <w:p>
      <w:pPr>
        <w:pStyle w:val="ListParagraph"/>
        <w:numPr>
          <w:ilvl w:val="0"/>
          <w:numId w:val="7"/>
        </w:numPr>
        <w:spacing w:after="80"/>
      </w:pPr>
      <w:r>
        <w:t xml:space="preserve">classify the historical sequence as self-reinforcing or reactive,</w:t>
      </w:r>
    </w:p>
    <w:p>
      <w:pPr>
        <w:pStyle w:val="ListParagraph"/>
        <w:numPr>
          <w:ilvl w:val="0"/>
          <w:numId w:val="7"/>
        </w:numPr>
        <w:spacing w:after="80"/>
      </w:pPr>
      <w:r>
        <w:t xml:space="preserve">apply the Capoccia–Kelemen test to one or two candidate moments,</w:t>
      </w:r>
    </w:p>
    <w:p>
      <w:pPr>
        <w:pStyle w:val="ListParagraph"/>
        <w:numPr>
          <w:ilvl w:val="0"/>
          <w:numId w:val="7"/>
        </w:numPr>
        <w:spacing w:after="80"/>
      </w:pPr>
      <w:r>
        <w:t xml:space="preserve">use the permissive vs. productive distinction where appropriate, and</w:t>
      </w:r>
    </w:p>
    <w:p>
      <w:pPr>
        <w:pStyle w:val="ListParagraph"/>
        <w:numPr>
          <w:ilvl w:val="0"/>
          <w:numId w:val="7"/>
        </w:numPr>
        <w:spacing w:after="80"/>
      </w:pPr>
      <w:r>
        <w:t xml:space="preserve">close with a verdict (locked-in / near an opening / ambiguous) and an implication for action.</w:t>
      </w:r>
    </w:p>
    <w:p>
      <w:pPr>
        <w:spacing w:after="160"/>
      </w:pPr>
      <w:r>
        <w:rPr>
          <w:i/>
          <w:iCs/>
        </w:rPr>
        <w:t xml:space="preserve">Note: these cases are deliberately under-determined. There is no single correct verdict — you will be assessed on the strength of the reasoning chain (mechanism → sequence → juncture claim → conditions → verdict), not on which verdict you reach.</w:t>
      </w:r>
    </w:p>
    <w:p>
      <w:pPr>
        <w:pStyle w:val="Heading3"/>
      </w:pPr>
      <w:r>
        <w:t xml:space="preserve">Tool summary</w:t>
      </w:r>
    </w:p>
    <w:p>
      <w:pPr>
        <w:spacing w:after="120"/>
      </w:pPr>
      <w:r>
        <w:rPr>
          <w:b/>
          <w:bCs/>
        </w:rPr>
        <w:t xml:space="preserve">Four lock-in mechanisms (Pierson 2000). </w:t>
      </w:r>
      <w:r>
        <w:t xml:space="preserve">Ask which is dominant, and which is conspicuously missing.</w:t>
      </w:r>
    </w:p>
    <w:p>
      <w:pPr>
        <w:pStyle w:val="ListParagraph"/>
        <w:numPr>
          <w:ilvl w:val="0"/>
          <w:numId w:val="3"/>
        </w:numPr>
        <w:spacing w:after="80"/>
      </w:pPr>
      <w:r>
        <w:t xml:space="preserve">Set-up / fixed costs — large sunk investment makes switching paths expensive.</w:t>
      </w:r>
    </w:p>
    <w:p>
      <w:pPr>
        <w:pStyle w:val="ListParagraph"/>
        <w:numPr>
          <w:ilvl w:val="0"/>
          <w:numId w:val="3"/>
        </w:numPr>
        <w:spacing w:after="80"/>
      </w:pPr>
      <w:r>
        <w:t xml:space="preserve">Learning effects — skills and know-how accumulate with practice, favouring the incumbent path.</w:t>
      </w:r>
    </w:p>
    <w:p>
      <w:pPr>
        <w:pStyle w:val="ListParagraph"/>
        <w:numPr>
          <w:ilvl w:val="0"/>
          <w:numId w:val="3"/>
        </w:numPr>
        <w:spacing w:after="80"/>
      </w:pPr>
      <w:r>
        <w:t xml:space="preserve">Coordination effects — actors' choices are more valuable when others make the same choice (supply chains, institutions, expectations aligning around one path).</w:t>
      </w:r>
    </w:p>
    <w:p>
      <w:pPr>
        <w:pStyle w:val="ListParagraph"/>
        <w:numPr>
          <w:ilvl w:val="0"/>
          <w:numId w:val="3"/>
        </w:numPr>
        <w:spacing w:after="80"/>
      </w:pPr>
      <w:r>
        <w:t xml:space="preserve">Adaptive expectations — actors expect the path to continue and act accordingly, making the expectation self-fulfilling.</w:t>
      </w:r>
    </w:p>
    <w:p>
      <w:pPr>
        <w:spacing w:after="120"/>
      </w:pPr>
      <w:r>
        <w:rPr>
          <w:b/>
          <w:bCs/>
        </w:rPr>
        <w:t xml:space="preserve">Sequence. </w:t>
      </w:r>
      <w:r>
        <w:t xml:space="preserve">Self-reinforcing = each step increases the relative attractiveness of staying on the path (positive feedback). Reactive = subsequent steps are responses to disruption of the path, not extensions of it.</w:t>
      </w:r>
    </w:p>
    <w:p>
      <w:pPr>
        <w:spacing w:after="120"/>
      </w:pPr>
      <w:r>
        <w:rPr>
          <w:b/>
          <w:bCs/>
        </w:rPr>
        <w:t xml:space="preserve">Capoccia–Kelemen (2007) critical juncture test. </w:t>
      </w:r>
      <w:r>
        <w:t xml:space="preserve">A moment qualifies as a critical juncture only if (i) structural constraints loosen enough that actors face a real choice among plausible alternatives, and (ii) the choice made in that compressed window has effects that persist well beyond it. A crisis or shock is not automatically a juncture — you must show contingency (choice was genuinely open) and durability (the choice mattered for a long time after).</w:t>
      </w:r>
    </w:p>
    <w:p>
      <w:pPr>
        <w:spacing w:after="120"/>
      </w:pPr>
      <w:r>
        <w:rPr>
          <w:b/>
          <w:bCs/>
        </w:rPr>
        <w:t xml:space="preserve">Permissive vs. productive conditions. </w:t>
      </w:r>
      <w:r>
        <w:t xml:space="preserve">Permissive conditions loosen the structural constraint and open a window (a crisis, a court ruling, a policy shock). Productive conditions are what is actually built inside that window — sustained investment, institution-building, capacity — that redirects the path. A permissive window with no matched productive condition closes without changing the trajectory.</w:t>
      </w:r>
    </w:p>
    <w:p>
      <w:pPr>
        <w:pBdr>
          <w:bottom w:val="single" w:color="999999" w:sz="6" w:space="1"/>
        </w:pBdr>
        <w:spacing w:after="240" w:before="120"/>
      </w:pPr>
      <w:r>
        <w:t xml:space="preserve"/>
      </w:r>
    </w:p>
    <w:p>
      <w:pPr>
        <w:pStyle w:val="Heading3"/>
      </w:pPr>
      <w:r>
        <w:t xml:space="preserve">Case specifics (from the case pack)</w:t>
      </w:r>
    </w:p>
    <w:p>
      <w:pPr>
        <w:spacing w:after="160"/>
      </w:pPr>
      <w:r>
        <w:t xml:space="preserve">A Canadian province whose economy is structured around oil-sands extraction and conventional petroleum. Resource rents have shaped provincial fiscal arrangements (Alberta has historically had no provincial sales tax, supported by resource revenue) and political coalitions (the long Progressive Conservative dominance through the 2000s, the contested rise and fall of the New Democratic Party government in 2015–2019, the United Conservative Party administration since). Direct employment in the oil and gas sector is substantial, with upstream extraction the narrower number and the broader sector (including downstream, gas processing, and supply chain) roughly twice that.</w:t>
      </w:r>
    </w:p>
    <w:p>
      <w:pPr>
        <w:spacing w:after="160"/>
      </w:pPr>
      <w:r>
        <w:t xml:space="preserve">Federal carbon pricing has produced sustained constitutional and political conflict. The Supreme Court of Canada upheld the federal Greenhouse Gas Pollution Pricing Act in References re Greenhouse Gas Pollution Pricing Act (2021), confirming federal jurisdiction over carbon pricing as a matter of national concern. Subsequent federal policy — the proposed oil-and-gas emissions cap, methane regulations, and the Trans Mountain Expansion (TMX) pipeline (operational from May 2024) — has generated ongoing federal–provincial litigation and political contestation. The provincial United Conservative Party government has positioned itself as a constitutional check on federal climate policy.</w:t>
      </w:r>
    </w:p>
    <w:p>
      <w:pPr>
        <w:spacing w:after="160"/>
      </w:pPr>
      <w:r>
        <w:t xml:space="preserve">The transition challenge combines structural economic dependence on a sector facing long-run demand decline with a political alignment that has resisted federal climate policy. Provincial population and GDP have continued to grow, partly through migration from other Canadian provinces, even as the transition pressure intensifies — which complicates any simple “Alberta is locked-in” narrative.</w:t>
      </w:r>
    </w:p>
    <w:p>
      <w:pPr>
        <w:spacing w:after="80" w:before="120"/>
      </w:pPr>
      <w:r>
        <w:rPr>
          <w:b/>
          <w:bCs/>
        </w:rPr>
        <w:t xml:space="preserve">Case: the agency's data</w:t>
      </w:r>
    </w:p>
    <w:p>
      <w:pPr>
        <w:pStyle w:val="ListParagraph"/>
        <w:numPr>
          <w:ilvl w:val="0"/>
          <w:numId w:val="3"/>
        </w:numPr>
        <w:spacing w:after="80"/>
      </w:pPr>
      <w:r>
        <w:t xml:space="preserve">Sectoral concentration: oil-sands and conventional petroleum dominate provincial GDP, exports, and tax base; production has run at multiple millions of barrels per day in recent years.</w:t>
      </w:r>
    </w:p>
    <w:p>
      <w:pPr>
        <w:pStyle w:val="ListParagraph"/>
        <w:numPr>
          <w:ilvl w:val="0"/>
          <w:numId w:val="3"/>
        </w:numPr>
        <w:spacing w:after="80"/>
      </w:pPr>
      <w:r>
        <w:t xml:space="preserve">Employment exposure: substantial in direct upstream oil and gas; roughly twice that across the broader sector (downstream, gas processing, supply chain); less geographically concentrated than the Pilbara.</w:t>
      </w:r>
    </w:p>
    <w:p>
      <w:pPr>
        <w:pStyle w:val="ListParagraph"/>
        <w:numPr>
          <w:ilvl w:val="0"/>
          <w:numId w:val="3"/>
        </w:numPr>
        <w:spacing w:after="80"/>
      </w:pPr>
      <w:r>
        <w:t xml:space="preserve">Fiscal architecture: structured around resource revenue; transition implies fiscal restructuring (sales tax debate, equalisation politics).</w:t>
      </w:r>
    </w:p>
    <w:p>
      <w:pPr>
        <w:pStyle w:val="ListParagraph"/>
        <w:numPr>
          <w:ilvl w:val="0"/>
          <w:numId w:val="3"/>
        </w:numPr>
        <w:spacing w:after="80"/>
      </w:pPr>
      <w:r>
        <w:t xml:space="preserve">Federal–provincial dynamic: 2021 SCC ruling upheld federal carbon pricing; ongoing litigation over the oil-and-gas emissions cap, methane regulations, and pipeline approvals.</w:t>
      </w:r>
    </w:p>
    <w:p>
      <w:pPr>
        <w:pStyle w:val="ListParagraph"/>
        <w:numPr>
          <w:ilvl w:val="0"/>
          <w:numId w:val="3"/>
        </w:numPr>
        <w:spacing w:after="80"/>
      </w:pPr>
      <w:r>
        <w:t xml:space="preserve">Recent policy direction: TMX pipeline operational May 2024; federal oil-and-gas emissions cap contested; provincial UCP government framing federal climate policy as constitutional overreach.</w:t>
      </w:r>
    </w:p>
    <w:p>
      <w:pPr>
        <w:pStyle w:val="ListParagraph"/>
        <w:numPr>
          <w:ilvl w:val="0"/>
          <w:numId w:val="3"/>
        </w:numPr>
        <w:spacing w:after="80"/>
      </w:pPr>
      <w:r>
        <w:t xml:space="preserve">Population dynamics: provincial population growing through inter-provincial migration, even as transition pressure intensifies.</w:t>
      </w:r>
    </w:p>
    <w:p>
      <w:pPr>
        <w:spacing w:after="80" w:before="160"/>
      </w:pPr>
      <w:r>
        <w:rPr>
          <w:b/>
          <w:bCs/>
        </w:rPr>
        <w:t xml:space="preserve">Discussion questions from the case pack</w:t>
      </w:r>
    </w:p>
    <w:p>
      <w:pPr>
        <w:pStyle w:val="ListParagraph"/>
        <w:numPr>
          <w:ilvl w:val="0"/>
          <w:numId w:val="3"/>
        </w:numPr>
        <w:spacing w:after="80"/>
      </w:pPr>
      <w:r>
        <w:t xml:space="preserve">What is the dominant lock-in mechanism — coordination effects, set-up costs, or adaptive expectations?</w:t>
      </w:r>
    </w:p>
    <w:p>
      <w:pPr>
        <w:pStyle w:val="ListParagraph"/>
        <w:numPr>
          <w:ilvl w:val="0"/>
          <w:numId w:val="3"/>
        </w:numPr>
        <w:spacing w:after="80"/>
      </w:pPr>
      <w:r>
        <w:t xml:space="preserve">Is federal carbon pricing a permissive condition for transition, a productive condition, or neither?</w:t>
      </w:r>
    </w:p>
    <w:p>
      <w:pPr>
        <w:pStyle w:val="ListParagraph"/>
        <w:numPr>
          <w:ilvl w:val="0"/>
          <w:numId w:val="3"/>
        </w:numPr>
        <w:spacing w:after="80"/>
      </w:pPr>
      <w:r>
        <w:t xml:space="preserve">Does provincial political resistance constitute a fifth lock-in mechanism not in the original four (Pierson 2000), or is it reducible to adaptive expectations and coordination effects?</w:t>
      </w:r>
    </w:p>
    <w:p>
      <w:pPr>
        <w:pStyle w:val="ListParagraph"/>
        <w:numPr>
          <w:ilvl w:val="0"/>
          <w:numId w:val="3"/>
        </w:numPr>
        <w:spacing w:after="80"/>
      </w:pPr>
      <w:r>
        <w:t xml:space="preserve">Where does the 2021 SCC ruling sit in your juncture analysis?</w:t>
      </w:r>
    </w:p>
    <w:p>
      <w:r>
        <w:br w:type="page"/>
      </w:r>
    </w:p>
    <w:p>
      <w:pPr>
        <w:pStyle w:val="Heading1"/>
      </w:pPr>
      <w:r>
        <w:t xml:space="preserve">Regional Transition Diagnostic — Worksheet</w:t>
      </w:r>
    </w:p>
    <w:p>
      <w:pPr>
        <w:pStyle w:val="Heading2"/>
      </w:pPr>
      <w:r>
        <w:t xml:space="preserve">Pilbara region (Western Australia) — Resource-dependent pair</w:t>
      </w:r>
    </w:p>
    <w:p>
      <w:pPr>
        <w:spacing w:after="160"/>
      </w:pPr>
      <w:r>
        <w:rPr>
          <w:i/>
          <w:iCs/>
        </w:rPr>
        <w:t xml:space="preserve">IR227 Seminar 1 — Group worksheet</w:t>
      </w:r>
    </w:p>
    <w:p>
      <w:pPr>
        <w:pStyle w:val="Heading3"/>
      </w:pPr>
      <w:r>
        <w:t xml:space="preserve">Task</w:t>
      </w:r>
    </w:p>
    <w:p>
      <w:pPr>
        <w:spacing w:after="160"/>
      </w:pPr>
      <w:r>
        <w:t xml:space="preserve">You are advising a regional development agency. Write a one-page diagnostic: is our region locked in, or near an opening, and what does that imply for action?</w:t>
      </w:r>
    </w:p>
    <w:p>
      <w:pPr>
        <w:spacing w:after="160"/>
      </w:pPr>
      <w:r>
        <w:t xml:space="preserve">The analytical tools you will deploy are: the four lock-in mechanisms (which is dominant? which is conspicuously absent?), the Capoccia–Kelemen test (is a juncture in view, and how would you defend the claim?), and the permissive–productive distinction (where, if anywhere, are external conditions opening a window for action?)</w:t>
      </w:r>
    </w:p>
    <w:p>
      <w:pPr>
        <w:pStyle w:val="Heading3"/>
      </w:pPr>
      <w:r>
        <w:t xml:space="preserve">Requirements</w:t>
      </w:r>
    </w:p>
    <w:p>
      <w:pPr>
        <w:pStyle w:val="ListParagraph"/>
        <w:numPr>
          <w:ilvl w:val="0"/>
          <w:numId w:val="8"/>
        </w:numPr>
        <w:spacing w:after="80"/>
      </w:pPr>
      <w:r>
        <w:t xml:space="preserve">name the dominant lock-in mechanism,</w:t>
      </w:r>
    </w:p>
    <w:p>
      <w:pPr>
        <w:pStyle w:val="ListParagraph"/>
        <w:numPr>
          <w:ilvl w:val="0"/>
          <w:numId w:val="8"/>
        </w:numPr>
        <w:spacing w:after="80"/>
      </w:pPr>
      <w:r>
        <w:t xml:space="preserve">classify the historical sequence as self-reinforcing or reactive,</w:t>
      </w:r>
    </w:p>
    <w:p>
      <w:pPr>
        <w:pStyle w:val="ListParagraph"/>
        <w:numPr>
          <w:ilvl w:val="0"/>
          <w:numId w:val="8"/>
        </w:numPr>
        <w:spacing w:after="80"/>
      </w:pPr>
      <w:r>
        <w:t xml:space="preserve">apply the Capoccia–Kelemen test to one or two candidate moments,</w:t>
      </w:r>
    </w:p>
    <w:p>
      <w:pPr>
        <w:pStyle w:val="ListParagraph"/>
        <w:numPr>
          <w:ilvl w:val="0"/>
          <w:numId w:val="8"/>
        </w:numPr>
        <w:spacing w:after="80"/>
      </w:pPr>
      <w:r>
        <w:t xml:space="preserve">use the permissive vs. productive distinction where appropriate, and</w:t>
      </w:r>
    </w:p>
    <w:p>
      <w:pPr>
        <w:pStyle w:val="ListParagraph"/>
        <w:numPr>
          <w:ilvl w:val="0"/>
          <w:numId w:val="8"/>
        </w:numPr>
        <w:spacing w:after="80"/>
      </w:pPr>
      <w:r>
        <w:t xml:space="preserve">close with a verdict (locked-in / near an opening / ambiguous) and an implication for action.</w:t>
      </w:r>
    </w:p>
    <w:p>
      <w:pPr>
        <w:spacing w:after="160"/>
      </w:pPr>
      <w:r>
        <w:rPr>
          <w:i/>
          <w:iCs/>
        </w:rPr>
        <w:t xml:space="preserve">Note: these cases are deliberately under-determined. There is no single correct verdict — you will be assessed on the strength of the reasoning chain (mechanism → sequence → juncture claim → conditions → verdict), not on which verdict you reach.</w:t>
      </w:r>
    </w:p>
    <w:p>
      <w:pPr>
        <w:pStyle w:val="Heading3"/>
      </w:pPr>
      <w:r>
        <w:t xml:space="preserve">Tool summary</w:t>
      </w:r>
    </w:p>
    <w:p>
      <w:pPr>
        <w:spacing w:after="120"/>
      </w:pPr>
      <w:r>
        <w:rPr>
          <w:b/>
          <w:bCs/>
        </w:rPr>
        <w:t xml:space="preserve">Four lock-in mechanisms (Pierson 2000). </w:t>
      </w:r>
      <w:r>
        <w:t xml:space="preserve">Ask which is dominant, and which is conspicuously missing.</w:t>
      </w:r>
    </w:p>
    <w:p>
      <w:pPr>
        <w:pStyle w:val="ListParagraph"/>
        <w:numPr>
          <w:ilvl w:val="0"/>
          <w:numId w:val="3"/>
        </w:numPr>
        <w:spacing w:after="80"/>
      </w:pPr>
      <w:r>
        <w:t xml:space="preserve">Set-up / fixed costs — large sunk investment makes switching paths expensive.</w:t>
      </w:r>
    </w:p>
    <w:p>
      <w:pPr>
        <w:pStyle w:val="ListParagraph"/>
        <w:numPr>
          <w:ilvl w:val="0"/>
          <w:numId w:val="3"/>
        </w:numPr>
        <w:spacing w:after="80"/>
      </w:pPr>
      <w:r>
        <w:t xml:space="preserve">Learning effects — skills and know-how accumulate with practice, favouring the incumbent path.</w:t>
      </w:r>
    </w:p>
    <w:p>
      <w:pPr>
        <w:pStyle w:val="ListParagraph"/>
        <w:numPr>
          <w:ilvl w:val="0"/>
          <w:numId w:val="3"/>
        </w:numPr>
        <w:spacing w:after="80"/>
      </w:pPr>
      <w:r>
        <w:t xml:space="preserve">Coordination effects — actors' choices are more valuable when others make the same choice (supply chains, institutions, expectations aligning around one path).</w:t>
      </w:r>
    </w:p>
    <w:p>
      <w:pPr>
        <w:pStyle w:val="ListParagraph"/>
        <w:numPr>
          <w:ilvl w:val="0"/>
          <w:numId w:val="3"/>
        </w:numPr>
        <w:spacing w:after="80"/>
      </w:pPr>
      <w:r>
        <w:t xml:space="preserve">Adaptive expectations — actors expect the path to continue and act accordingly, making the expectation self-fulfilling.</w:t>
      </w:r>
    </w:p>
    <w:p>
      <w:pPr>
        <w:spacing w:after="120"/>
      </w:pPr>
      <w:r>
        <w:rPr>
          <w:b/>
          <w:bCs/>
        </w:rPr>
        <w:t xml:space="preserve">Sequence. </w:t>
      </w:r>
      <w:r>
        <w:t xml:space="preserve">Self-reinforcing = each step increases the relative attractiveness of staying on the path (positive feedback). Reactive = subsequent steps are responses to disruption of the path, not extensions of it.</w:t>
      </w:r>
    </w:p>
    <w:p>
      <w:pPr>
        <w:spacing w:after="120"/>
      </w:pPr>
      <w:r>
        <w:rPr>
          <w:b/>
          <w:bCs/>
        </w:rPr>
        <w:t xml:space="preserve">Capoccia–Kelemen (2007) critical juncture test. </w:t>
      </w:r>
      <w:r>
        <w:t xml:space="preserve">A moment qualifies as a critical juncture only if (i) structural constraints loosen enough that actors face a real choice among plausible alternatives, and (ii) the choice made in that compressed window has effects that persist well beyond it. A crisis or shock is not automatically a juncture — you must show contingency (choice was genuinely open) and durability (the choice mattered for a long time after).</w:t>
      </w:r>
    </w:p>
    <w:p>
      <w:pPr>
        <w:spacing w:after="120"/>
      </w:pPr>
      <w:r>
        <w:rPr>
          <w:b/>
          <w:bCs/>
        </w:rPr>
        <w:t xml:space="preserve">Permissive vs. productive conditions. </w:t>
      </w:r>
      <w:r>
        <w:t xml:space="preserve">Permissive conditions loosen the structural constraint and open a window (a crisis, a court ruling, a policy shock). Productive conditions are what is actually built inside that window — sustained investment, institution-building, capacity — that redirects the path. A permissive window with no matched productive condition closes without changing the trajectory.</w:t>
      </w:r>
    </w:p>
    <w:p>
      <w:pPr>
        <w:pBdr>
          <w:bottom w:val="single" w:color="999999" w:sz="6" w:space="1"/>
        </w:pBdr>
        <w:spacing w:after="240" w:before="120"/>
      </w:pPr>
      <w:r>
        <w:t xml:space="preserve"/>
      </w:r>
    </w:p>
    <w:p>
      <w:pPr>
        <w:pStyle w:val="Heading3"/>
      </w:pPr>
      <w:r>
        <w:t xml:space="preserve">Case specifics (from the case pack)</w:t>
      </w:r>
    </w:p>
    <w:p>
      <w:pPr>
        <w:spacing w:after="160"/>
      </w:pPr>
      <w:r>
        <w:t xml:space="preserve">A vast, sparsely populated region in northwest Australia dominated by iron-ore and natural-gas extraction. Major mining companies (Rio Tinto, BHP, Fortescue) operate at extraordinary scale; the region accounts for a large share of global seaborne iron-ore supply and exports primarily to East Asia, with a strong tie to Chinese steel-industry demand. The Pilbara is geographically remote, lightly settled (a modest resident population alongside a substantially larger fly-in fly-out workforce), and politically peripheral within Australian federal politics in a way Alberta is not.</w:t>
      </w:r>
    </w:p>
    <w:p>
      <w:pPr>
        <w:spacing w:after="160"/>
      </w:pPr>
      <w:r>
        <w:t xml:space="preserve">Automation has progressed substantially in the Pilbara mining sector. Rio Tinto's autonomous-truck programme began at the West Angelas mine in 2008 and has expanded across the company's operations (Yandicoogina and Nammuldi became the first mines in the world to move all ore by driverless truck in 2015); AutoHaul (automated rail freight, linking inland mines to coastal ports) became operational in 2018. BHP and Fortescue have made parallel investments. The cumulative effect is to reduce the labour share of output even as production volumes have remained high or grown.</w:t>
      </w:r>
    </w:p>
    <w:p>
      <w:pPr>
        <w:spacing w:after="160"/>
      </w:pPr>
      <w:r>
        <w:t xml:space="preserve">Ore-grade decline at established mines is a longer-run structural constraint; mining companies have increasingly invested in lower-grade deposits and beneficiation infrastructure. The Pilbara's heavy export exposure to Chinese steel-industry demand makes Chinese property-cycle and steel-policy decisions the binding external variable for the region's economic trajectory — a variable no domestic policy can control.</w:t>
      </w:r>
    </w:p>
    <w:p>
      <w:pPr>
        <w:spacing w:after="80" w:before="120"/>
      </w:pPr>
      <w:r>
        <w:rPr>
          <w:b/>
          <w:bCs/>
        </w:rPr>
        <w:t xml:space="preserve">Case: the agency's data</w:t>
      </w:r>
    </w:p>
    <w:p>
      <w:pPr>
        <w:pStyle w:val="ListParagraph"/>
        <w:numPr>
          <w:ilvl w:val="0"/>
          <w:numId w:val="3"/>
        </w:numPr>
        <w:spacing w:after="80"/>
      </w:pPr>
      <w:r>
        <w:t xml:space="preserve">Sectoral concentration: extreme; few alternative regional industries at scale. Iron-ore and natural-gas dominate output and employment.</w:t>
      </w:r>
    </w:p>
    <w:p>
      <w:pPr>
        <w:pStyle w:val="ListParagraph"/>
        <w:numPr>
          <w:ilvl w:val="0"/>
          <w:numId w:val="3"/>
        </w:numPr>
        <w:spacing w:after="80"/>
      </w:pPr>
      <w:r>
        <w:t xml:space="preserve">Production: the Pilbara accounts for a large share of global seaborne iron-ore supply; nearly all Australian iron-ore production originates from the region.</w:t>
      </w:r>
    </w:p>
    <w:p>
      <w:pPr>
        <w:pStyle w:val="ListParagraph"/>
        <w:numPr>
          <w:ilvl w:val="0"/>
          <w:numId w:val="3"/>
        </w:numPr>
        <w:spacing w:after="80"/>
      </w:pPr>
      <w:r>
        <w:t xml:space="preserve">Demand exposure: heavy export exposure to Chinese steel-industry demand; Chinese steel-demand cycles are the binding external variable; ore-grade decline at established mines is a slower structural constraint.</w:t>
      </w:r>
    </w:p>
    <w:p>
      <w:pPr>
        <w:pStyle w:val="ListParagraph"/>
        <w:numPr>
          <w:ilvl w:val="0"/>
          <w:numId w:val="3"/>
        </w:numPr>
        <w:spacing w:after="80"/>
      </w:pPr>
      <w:r>
        <w:t xml:space="preserve">Labour share: declining as automation replaces operators. Autonomous-truck programmes from 2008 (Rio Tinto, beginning at the West Angelas mine), automated rail freight from 2018 (AutoHaul), parallel investments by BHP and Fortescue.</w:t>
      </w:r>
    </w:p>
    <w:p>
      <w:pPr>
        <w:pStyle w:val="ListParagraph"/>
        <w:numPr>
          <w:ilvl w:val="0"/>
          <w:numId w:val="3"/>
        </w:numPr>
        <w:spacing w:after="80"/>
      </w:pPr>
      <w:r>
        <w:t xml:space="preserve">Workforce structure: a modest resident population alongside a substantially larger fly-in fly-out workforce; FIFO culture limits regional community formation and political voice.</w:t>
      </w:r>
    </w:p>
    <w:p>
      <w:pPr>
        <w:pStyle w:val="ListParagraph"/>
        <w:numPr>
          <w:ilvl w:val="0"/>
          <w:numId w:val="3"/>
        </w:numPr>
        <w:spacing w:after="80"/>
      </w:pPr>
      <w:r>
        <w:t xml:space="preserve">Political weight: low domestic political profile relative to its export significance; transition discourse is more national than regional.</w:t>
      </w:r>
    </w:p>
    <w:p>
      <w:pPr>
        <w:spacing w:after="80" w:before="160"/>
      </w:pPr>
      <w:r>
        <w:rPr>
          <w:b/>
          <w:bCs/>
        </w:rPr>
        <w:t xml:space="preserve">Discussion questions from the case pack</w:t>
      </w:r>
    </w:p>
    <w:p>
      <w:pPr>
        <w:pStyle w:val="ListParagraph"/>
        <w:numPr>
          <w:ilvl w:val="0"/>
          <w:numId w:val="3"/>
        </w:numPr>
        <w:spacing w:after="80"/>
      </w:pPr>
      <w:r>
        <w:t xml:space="preserve">How does the Pilbara's lock-in differ from Alberta's, despite the shared resource-dependent archetype?</w:t>
      </w:r>
    </w:p>
    <w:p>
      <w:pPr>
        <w:pStyle w:val="ListParagraph"/>
        <w:numPr>
          <w:ilvl w:val="0"/>
          <w:numId w:val="3"/>
        </w:numPr>
        <w:spacing w:after="80"/>
      </w:pPr>
      <w:r>
        <w:t xml:space="preserve">Does automation deepen the lock-in by securing extraction at lower labour cost — and what does that imply for the productive-vs-permissive distinction?</w:t>
      </w:r>
    </w:p>
    <w:p>
      <w:pPr>
        <w:pStyle w:val="ListParagraph"/>
        <w:numPr>
          <w:ilvl w:val="0"/>
          <w:numId w:val="3"/>
        </w:numPr>
        <w:spacing w:after="80"/>
      </w:pPr>
      <w:r>
        <w:t xml:space="preserve">What would a critical juncture for the Pilbara look like — a Chinese demand shock, a national policy shift, an ore-grade or technological tipping point, or something else?</w:t>
      </w:r>
    </w:p>
    <w:p>
      <w:pPr>
        <w:pStyle w:val="ListParagraph"/>
        <w:numPr>
          <w:ilvl w:val="0"/>
          <w:numId w:val="3"/>
        </w:numPr>
        <w:spacing w:after="80"/>
      </w:pPr>
      <w:r>
        <w:t xml:space="preserve">How does the FIFO workforce structure affect the political-economy of any transition coalition?</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abstractNum w:abstractNumId="3" w15:restartNumberingAfterBreak="0">
    <w:multiLevelType w:val="hybridMultilevel"/>
    <w:lvl w:ilvl="0" w15:tentative="1">
      <w:start w:val="1"/>
      <w:numFmt w:val="lowerLetter"/>
      <w:lvlText w:val="(%1)"/>
      <w:lvlJc w:val="left"/>
      <w:pPr>
        <w:ind w:left="480" w:hanging="260"/>
      </w:pPr>
    </w:lvl>
  </w:abstractNum>
  <w:abstractNum w:abstractNumId="4" w15:restartNumberingAfterBreak="0">
    <w:multiLevelType w:val="hybridMultilevel"/>
    <w:lvl w:ilvl="0" w15:tentative="1">
      <w:start w:val="1"/>
      <w:numFmt w:val="lowerLetter"/>
      <w:lvlText w:val="(%1)"/>
      <w:lvlJc w:val="left"/>
      <w:pPr>
        <w:ind w:left="480" w:hanging="260"/>
      </w:pPr>
    </w:lvl>
  </w:abstractNum>
  <w:abstractNum w:abstractNumId="5" w15:restartNumberingAfterBreak="0">
    <w:multiLevelType w:val="hybridMultilevel"/>
    <w:lvl w:ilvl="0" w15:tentative="1">
      <w:start w:val="1"/>
      <w:numFmt w:val="lowerLetter"/>
      <w:lvlText w:val="(%1)"/>
      <w:lvlJc w:val="left"/>
      <w:pPr>
        <w:ind w:left="480" w:hanging="260"/>
      </w:pPr>
    </w:lvl>
  </w:abstractNum>
  <w:abstractNum w:abstractNumId="6" w15:restartNumberingAfterBreak="0">
    <w:multiLevelType w:val="hybridMultilevel"/>
    <w:lvl w:ilvl="0" w15:tentative="1">
      <w:start w:val="1"/>
      <w:numFmt w:val="lowerLetter"/>
      <w:lvlText w:val="(%1)"/>
      <w:lvlJc w:val="left"/>
      <w:pPr>
        <w:ind w:left="480" w:hanging="260"/>
      </w:pPr>
    </w:lvl>
  </w:abstractNum>
  <w:abstractNum w:abstractNumId="7" w15:restartNumberingAfterBreak="0">
    <w:multiLevelType w:val="hybridMultilevel"/>
    <w:lvl w:ilvl="0" w15:tentative="1">
      <w:start w:val="1"/>
      <w:numFmt w:val="lowerLetter"/>
      <w:lvlText w:val="(%1)"/>
      <w:lvlJc w:val="left"/>
      <w:pPr>
        <w:ind w:left="480" w:hanging="260"/>
      </w:pPr>
    </w:lvl>
  </w:abstractNum>
  <w:abstractNum w:abstractNumId="8" w15:restartNumberingAfterBreak="0">
    <w:multiLevelType w:val="hybridMultilevel"/>
    <w:lvl w:ilvl="0" w15:tentative="1">
      <w:start w:val="1"/>
      <w:numFmt w:val="lowerLetter"/>
      <w:lvlText w:val="(%1)"/>
      <w:lvlJc w:val="left"/>
      <w:pPr>
        <w:ind w:left="48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0"/>
      <w:outlineLvl w:val="0"/>
    </w:pPr>
    <w:rPr>
      <w:rFonts w:ascii="Arial" w:cs="Arial" w:eastAsia="Arial" w:hAnsi="Arial"/>
      <w:b/>
      <w:bCs/>
      <w:color w:val="1F3864"/>
      <w:sz w:val="30"/>
      <w:szCs w:val="30"/>
    </w:rPr>
  </w:style>
  <w:style w:type="paragraph" w:styleId="Heading2">
    <w:name w:val="Heading 2"/>
    <w:basedOn w:val="Normal"/>
    <w:next w:val="Normal"/>
    <w:qFormat/>
    <w:pPr>
      <w:spacing w:after="200" w:before="0"/>
      <w:outlineLvl w:val="1"/>
    </w:pPr>
    <w:rPr>
      <w:rFonts w:ascii="Arial" w:cs="Arial" w:eastAsia="Arial" w:hAnsi="Arial"/>
      <w:b/>
      <w:bCs/>
      <w:i/>
      <w:iCs/>
      <w:color w:val="2E5395"/>
      <w:sz w:val="24"/>
      <w:szCs w:val="24"/>
    </w:rPr>
  </w:style>
  <w:style w:type="paragraph" w:styleId="Heading3">
    <w:name w:val="Heading 3"/>
    <w:basedOn w:val="Normal"/>
    <w:next w:val="Normal"/>
    <w:qFormat/>
    <w:pPr>
      <w:spacing w:after="100" w:before="200"/>
      <w:outlineLvl w:val="2"/>
    </w:pPr>
    <w:rPr>
      <w:rFonts w:ascii="Arial" w:cs="Arial" w:eastAsia="Arial" w:hAnsi="Arial"/>
      <w:b/>
      <w:bCs/>
      <w:color w:val="00000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2026-07-02T17:28:09.372Z</dcterms:created>
  <dcterms:modified xsi:type="dcterms:W3CDTF">2026-07-02T17:28:09.372Z</dcterms:modified>
</cp:coreProperties>
</file>

<file path=docProps/custom.xml><?xml version="1.0" encoding="utf-8"?>
<Properties xmlns="http://schemas.openxmlformats.org/officeDocument/2006/custom-properties" xmlns:vt="http://schemas.openxmlformats.org/officeDocument/2006/docPropsVTypes"/>
</file>